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DB859D" w14:textId="77777777" w:rsidR="00DD118B" w:rsidRPr="00AA170B" w:rsidRDefault="00DD118B" w:rsidP="002A4B26">
      <w:pPr>
        <w:jc w:val="center"/>
        <w:rPr>
          <w:rFonts w:ascii="Cambria" w:eastAsia="Times New Roman" w:hAnsi="Cambria" w:cs="Times New Roman"/>
          <w:b/>
          <w:sz w:val="2"/>
          <w:szCs w:val="2"/>
          <w:lang w:bidi="en-US"/>
        </w:rPr>
      </w:pPr>
    </w:p>
    <w:p w14:paraId="34D8E4FB" w14:textId="77777777" w:rsidR="00AA170B" w:rsidRPr="00AA170B" w:rsidRDefault="00AA170B" w:rsidP="002A4B26">
      <w:pPr>
        <w:jc w:val="center"/>
        <w:rPr>
          <w:rFonts w:ascii="Cambria" w:eastAsia="Times New Roman" w:hAnsi="Cambria" w:cs="Times New Roman"/>
          <w:b/>
          <w:sz w:val="22"/>
          <w:szCs w:val="22"/>
          <w:lang w:bidi="en-US"/>
        </w:rPr>
      </w:pPr>
    </w:p>
    <w:p w14:paraId="21F8CA73" w14:textId="34943598" w:rsidR="002A4B26" w:rsidRPr="002A4B26" w:rsidRDefault="002A4B26" w:rsidP="002A4B26">
      <w:pPr>
        <w:jc w:val="center"/>
        <w:rPr>
          <w:rFonts w:ascii="Cambria" w:eastAsia="Times New Roman" w:hAnsi="Cambria" w:cs="Times New Roman"/>
          <w:b/>
          <w:sz w:val="28"/>
          <w:szCs w:val="28"/>
          <w:lang w:bidi="en-US"/>
        </w:rPr>
      </w:pPr>
      <w:r w:rsidRPr="002A4B26">
        <w:rPr>
          <w:rFonts w:ascii="Cambria" w:eastAsia="Times New Roman" w:hAnsi="Cambria" w:cs="Times New Roman"/>
          <w:b/>
          <w:sz w:val="28"/>
          <w:szCs w:val="28"/>
          <w:lang w:bidi="en-US"/>
        </w:rPr>
        <w:t>Artificial Intelligence and Pedagogical Transformation: Opportunities and Challenges in Higher Education.</w:t>
      </w:r>
    </w:p>
    <w:p w14:paraId="2DB9BAC8" w14:textId="77777777" w:rsidR="005D2DE5" w:rsidRPr="002A4B26" w:rsidRDefault="005D2DE5" w:rsidP="005D2DE5">
      <w:pPr>
        <w:jc w:val="center"/>
        <w:rPr>
          <w:rFonts w:ascii="Cambria" w:hAnsi="Cambria"/>
          <w:b/>
          <w:bCs/>
          <w:sz w:val="22"/>
          <w:szCs w:val="22"/>
        </w:rPr>
      </w:pPr>
    </w:p>
    <w:p w14:paraId="2B9568C1" w14:textId="23C7AB48" w:rsidR="002A4B26" w:rsidRPr="002A4B26" w:rsidRDefault="002A4B26" w:rsidP="002A4B26">
      <w:pPr>
        <w:jc w:val="center"/>
        <w:rPr>
          <w:rFonts w:ascii="Cambria" w:eastAsia="Times New Roman" w:hAnsi="Cambria" w:cs="Times New Roman"/>
          <w:sz w:val="20"/>
          <w:szCs w:val="20"/>
          <w:vertAlign w:val="superscript"/>
          <w:lang w:val="en-US"/>
        </w:rPr>
      </w:pPr>
      <w:r w:rsidRPr="002A4B26">
        <w:rPr>
          <w:rFonts w:ascii="Cambria" w:eastAsia="Times New Roman" w:hAnsi="Cambria" w:cs="Times New Roman"/>
          <w:sz w:val="20"/>
          <w:szCs w:val="20"/>
          <w:lang w:val="en-US"/>
        </w:rPr>
        <w:t>Dr</w:t>
      </w:r>
      <w:r w:rsidR="00E6590E">
        <w:rPr>
          <w:rFonts w:ascii="Cambria" w:eastAsia="Times New Roman" w:hAnsi="Cambria" w:cs="Times New Roman"/>
          <w:sz w:val="20"/>
          <w:szCs w:val="20"/>
          <w:lang w:val="en-US"/>
        </w:rPr>
        <w:t xml:space="preserve">. </w:t>
      </w:r>
      <w:r w:rsidRPr="002A4B26">
        <w:rPr>
          <w:rFonts w:ascii="Cambria" w:eastAsia="Times New Roman" w:hAnsi="Cambria" w:cs="Times New Roman"/>
          <w:sz w:val="20"/>
          <w:szCs w:val="20"/>
          <w:lang w:val="en-US"/>
        </w:rPr>
        <w:t xml:space="preserve">Shella Devi Govindarajan </w:t>
      </w:r>
    </w:p>
    <w:p w14:paraId="1DE074B4" w14:textId="77777777" w:rsidR="002A4B26" w:rsidRPr="002A4B26" w:rsidRDefault="002A4B26" w:rsidP="002A4B26">
      <w:pPr>
        <w:jc w:val="center"/>
        <w:rPr>
          <w:rFonts w:ascii="Times New Roman" w:eastAsia="Times New Roman" w:hAnsi="Times New Roman" w:cs="Times New Roman"/>
          <w:sz w:val="20"/>
          <w:szCs w:val="20"/>
          <w:lang w:val="en-US"/>
        </w:rPr>
      </w:pPr>
    </w:p>
    <w:p w14:paraId="46E9E6E5" w14:textId="30201AF5" w:rsidR="002A4B26" w:rsidRPr="002A4B26" w:rsidRDefault="002A4B26" w:rsidP="002A4B26">
      <w:pPr>
        <w:jc w:val="center"/>
        <w:rPr>
          <w:rFonts w:ascii="Cambria" w:eastAsia="Times New Roman" w:hAnsi="Cambria" w:cs="Times New Roman"/>
          <w:sz w:val="20"/>
          <w:szCs w:val="20"/>
          <w:lang w:val="en-US"/>
        </w:rPr>
      </w:pPr>
      <w:proofErr w:type="spellStart"/>
      <w:r w:rsidRPr="002A4B26">
        <w:rPr>
          <w:rFonts w:ascii="Cambria" w:eastAsia="Times New Roman" w:hAnsi="Cambria" w:cs="Times New Roman"/>
          <w:sz w:val="20"/>
          <w:szCs w:val="20"/>
          <w:lang w:val="en-US"/>
        </w:rPr>
        <w:t>Institut</w:t>
      </w:r>
      <w:proofErr w:type="spellEnd"/>
      <w:r w:rsidRPr="002A4B26">
        <w:rPr>
          <w:rFonts w:ascii="Cambria" w:eastAsia="Times New Roman" w:hAnsi="Cambria" w:cs="Times New Roman"/>
          <w:sz w:val="20"/>
          <w:szCs w:val="20"/>
          <w:lang w:val="en-US"/>
        </w:rPr>
        <w:t xml:space="preserve"> Pendidikan Guru</w:t>
      </w:r>
      <w:r w:rsidR="007F792C">
        <w:rPr>
          <w:rFonts w:ascii="Cambria" w:eastAsia="Times New Roman" w:hAnsi="Cambria" w:cs="Times New Roman"/>
          <w:sz w:val="20"/>
          <w:szCs w:val="20"/>
          <w:lang w:val="en-US"/>
        </w:rPr>
        <w:t>, Ipoh</w:t>
      </w:r>
    </w:p>
    <w:p w14:paraId="3D524132" w14:textId="77777777" w:rsidR="008107EB" w:rsidRPr="002A4B26" w:rsidRDefault="008107EB" w:rsidP="005D2DE5">
      <w:pPr>
        <w:jc w:val="center"/>
        <w:rPr>
          <w:rFonts w:ascii="Cambria" w:hAnsi="Cambria"/>
          <w:sz w:val="20"/>
          <w:szCs w:val="20"/>
          <w:lang w:val="en-US"/>
        </w:rPr>
      </w:pPr>
    </w:p>
    <w:p w14:paraId="179BF1EF" w14:textId="0BAF243E" w:rsidR="00BA4C29" w:rsidRPr="00BA4C29" w:rsidRDefault="00BA4C29" w:rsidP="00BA4C29">
      <w:pPr>
        <w:jc w:val="center"/>
        <w:rPr>
          <w:rFonts w:ascii="Cambria" w:eastAsia="Times New Roman" w:hAnsi="Cambria" w:cs="Times New Roman"/>
          <w:sz w:val="20"/>
          <w:szCs w:val="20"/>
          <w:lang w:eastAsia="en-GB"/>
        </w:rPr>
      </w:pPr>
      <w:r w:rsidRPr="00A4100F">
        <w:rPr>
          <w:rFonts w:ascii="Cambria" w:eastAsia="Times New Roman" w:hAnsi="Cambria" w:cs="Times New Roman"/>
          <w:color w:val="000000"/>
          <w:sz w:val="20"/>
          <w:szCs w:val="20"/>
          <w:lang w:eastAsia="en-GB"/>
        </w:rPr>
        <w:t>*C</w:t>
      </w:r>
      <w:r w:rsidRPr="007F792C">
        <w:rPr>
          <w:rFonts w:ascii="Cambria" w:eastAsia="Times New Roman" w:hAnsi="Cambria" w:cs="Times New Roman"/>
          <w:color w:val="000000"/>
          <w:sz w:val="20"/>
          <w:szCs w:val="20"/>
          <w:lang w:eastAsia="en-GB"/>
        </w:rPr>
        <w:t xml:space="preserve">orresponding author: </w:t>
      </w:r>
      <w:r w:rsidRPr="007F792C">
        <w:rPr>
          <w:rFonts w:ascii="Cambria" w:eastAsia="Times New Roman" w:hAnsi="Cambria" w:cs="Times New Roman"/>
          <w:color w:val="000000"/>
          <w:sz w:val="20"/>
          <w:szCs w:val="20"/>
          <w:highlight w:val="yellow"/>
          <w:lang w:eastAsia="en-GB"/>
        </w:rPr>
        <w:t>​​</w:t>
      </w:r>
      <w:r w:rsidR="007F792C" w:rsidRPr="007F792C">
        <w:rPr>
          <w:rFonts w:ascii="Cambria" w:hAnsi="Cambria" w:cs="Noto Sans"/>
          <w:sz w:val="20"/>
          <w:szCs w:val="20"/>
          <w:shd w:val="clear" w:color="auto" w:fill="FFFFFF"/>
        </w:rPr>
        <w:t xml:space="preserve"> </w:t>
      </w:r>
      <w:r w:rsidR="007F792C" w:rsidRPr="007F792C">
        <w:rPr>
          <w:rFonts w:ascii="Cambria" w:hAnsi="Cambria"/>
          <w:sz w:val="20"/>
          <w:szCs w:val="20"/>
        </w:rPr>
        <w:t>shella@ipgmipoh.edu.my</w:t>
      </w:r>
    </w:p>
    <w:p w14:paraId="549D1E56" w14:textId="77777777" w:rsidR="00BA4C29" w:rsidRPr="00BA4C29" w:rsidRDefault="00BA4C29" w:rsidP="005D2DE5">
      <w:pPr>
        <w:jc w:val="center"/>
        <w:rPr>
          <w:rFonts w:ascii="Cambria" w:hAnsi="Cambria"/>
          <w:sz w:val="20"/>
          <w:szCs w:val="20"/>
        </w:rPr>
      </w:pPr>
    </w:p>
    <w:p w14:paraId="2AA1B225" w14:textId="23B4F1E9" w:rsidR="008107EB" w:rsidRPr="007F792C" w:rsidRDefault="008107EB" w:rsidP="00BA4C29">
      <w:pPr>
        <w:jc w:val="center"/>
        <w:rPr>
          <w:rFonts w:ascii="Cambria" w:hAnsi="Cambria"/>
          <w:sz w:val="20"/>
          <w:szCs w:val="20"/>
        </w:rPr>
      </w:pPr>
      <w:r w:rsidRPr="007F792C">
        <w:rPr>
          <w:rFonts w:ascii="Cambria" w:hAnsi="Cambria"/>
          <w:sz w:val="20"/>
          <w:szCs w:val="20"/>
        </w:rPr>
        <w:t>Received</w:t>
      </w:r>
      <w:r w:rsidR="00BA4C29" w:rsidRPr="007F792C">
        <w:rPr>
          <w:rFonts w:ascii="Cambria" w:hAnsi="Cambria"/>
          <w:sz w:val="20"/>
          <w:szCs w:val="20"/>
        </w:rPr>
        <w:t xml:space="preserve">: </w:t>
      </w:r>
      <w:r w:rsidR="007F792C" w:rsidRPr="007F792C">
        <w:rPr>
          <w:rFonts w:ascii="Cambria" w:hAnsi="Cambria"/>
          <w:sz w:val="20"/>
          <w:szCs w:val="20"/>
        </w:rPr>
        <w:t>16</w:t>
      </w:r>
      <w:r w:rsidR="007F792C" w:rsidRPr="007F792C">
        <w:rPr>
          <w:rFonts w:ascii="Cambria" w:hAnsi="Cambria"/>
          <w:sz w:val="20"/>
          <w:szCs w:val="20"/>
          <w:vertAlign w:val="superscript"/>
        </w:rPr>
        <w:t>th</w:t>
      </w:r>
      <w:r w:rsidR="007F792C" w:rsidRPr="007F792C">
        <w:rPr>
          <w:rFonts w:ascii="Cambria" w:hAnsi="Cambria"/>
          <w:sz w:val="20"/>
          <w:szCs w:val="20"/>
        </w:rPr>
        <w:t xml:space="preserve"> October 2025; Revised</w:t>
      </w:r>
      <w:r w:rsidR="00BA4C29" w:rsidRPr="007F792C">
        <w:rPr>
          <w:rFonts w:ascii="Cambria" w:hAnsi="Cambria"/>
          <w:sz w:val="20"/>
          <w:szCs w:val="20"/>
        </w:rPr>
        <w:t xml:space="preserve">: </w:t>
      </w:r>
      <w:r w:rsidR="007F792C" w:rsidRPr="007F792C">
        <w:rPr>
          <w:rFonts w:ascii="Cambria" w:hAnsi="Cambria"/>
          <w:sz w:val="20"/>
          <w:szCs w:val="20"/>
        </w:rPr>
        <w:t>17</w:t>
      </w:r>
      <w:r w:rsidR="007F792C" w:rsidRPr="007F792C">
        <w:rPr>
          <w:rFonts w:ascii="Cambria" w:hAnsi="Cambria"/>
          <w:sz w:val="20"/>
          <w:szCs w:val="20"/>
          <w:vertAlign w:val="superscript"/>
        </w:rPr>
        <w:t>th</w:t>
      </w:r>
      <w:r w:rsidR="007F792C" w:rsidRPr="007F792C">
        <w:rPr>
          <w:rFonts w:ascii="Cambria" w:hAnsi="Cambria"/>
          <w:sz w:val="20"/>
          <w:szCs w:val="20"/>
        </w:rPr>
        <w:t xml:space="preserve"> November 2025</w:t>
      </w:r>
      <w:r w:rsidR="00BA4C29" w:rsidRPr="007F792C">
        <w:rPr>
          <w:rFonts w:ascii="Cambria" w:hAnsi="Cambria"/>
          <w:sz w:val="20"/>
          <w:szCs w:val="20"/>
        </w:rPr>
        <w:t xml:space="preserve">; </w:t>
      </w:r>
      <w:r w:rsidR="00E3052F" w:rsidRPr="007F792C">
        <w:rPr>
          <w:rFonts w:ascii="Cambria" w:hAnsi="Cambria"/>
          <w:sz w:val="20"/>
          <w:szCs w:val="20"/>
        </w:rPr>
        <w:t>Accepted</w:t>
      </w:r>
      <w:r w:rsidR="00BA4C29" w:rsidRPr="007F792C">
        <w:rPr>
          <w:rFonts w:ascii="Cambria" w:hAnsi="Cambria"/>
          <w:sz w:val="20"/>
          <w:szCs w:val="20"/>
        </w:rPr>
        <w:t>: 1</w:t>
      </w:r>
      <w:r w:rsidR="00BA4C29" w:rsidRPr="007F792C">
        <w:rPr>
          <w:rFonts w:ascii="Cambria" w:hAnsi="Cambria"/>
          <w:sz w:val="20"/>
          <w:szCs w:val="20"/>
          <w:vertAlign w:val="superscript"/>
        </w:rPr>
        <w:t>st</w:t>
      </w:r>
      <w:r w:rsidR="00BA4C29" w:rsidRPr="007F792C">
        <w:rPr>
          <w:rFonts w:ascii="Cambria" w:hAnsi="Cambria"/>
          <w:sz w:val="20"/>
          <w:szCs w:val="20"/>
        </w:rPr>
        <w:t xml:space="preserve"> </w:t>
      </w:r>
      <w:r w:rsidR="007F792C" w:rsidRPr="007F792C">
        <w:rPr>
          <w:rFonts w:ascii="Cambria" w:hAnsi="Cambria"/>
          <w:sz w:val="20"/>
          <w:szCs w:val="20"/>
        </w:rPr>
        <w:t>December 2025</w:t>
      </w:r>
    </w:p>
    <w:p w14:paraId="183BF44F" w14:textId="77777777" w:rsidR="005D2DE5" w:rsidRPr="005D2DE5" w:rsidRDefault="005D2DE5" w:rsidP="005D2DE5">
      <w:pPr>
        <w:jc w:val="center"/>
        <w:rPr>
          <w:rFonts w:ascii="Cambria" w:hAnsi="Cambria"/>
          <w:sz w:val="20"/>
          <w:szCs w:val="20"/>
        </w:rPr>
      </w:pPr>
    </w:p>
    <w:p w14:paraId="4F183D63" w14:textId="77777777" w:rsidR="005D2DE5" w:rsidRPr="005D2DE5" w:rsidRDefault="005D2DE5" w:rsidP="005D2DE5">
      <w:pPr>
        <w:jc w:val="center"/>
        <w:rPr>
          <w:rFonts w:ascii="Cambria" w:hAnsi="Cambria"/>
          <w:sz w:val="20"/>
          <w:szCs w:val="20"/>
        </w:rPr>
      </w:pPr>
    </w:p>
    <w:p w14:paraId="6FF7CBC4" w14:textId="77777777" w:rsidR="00342B39" w:rsidRPr="005D2DE5" w:rsidRDefault="00342B39" w:rsidP="005D2DE5">
      <w:pPr>
        <w:ind w:left="567" w:right="515"/>
        <w:jc w:val="center"/>
        <w:rPr>
          <w:rFonts w:ascii="Cambria" w:hAnsi="Cambria"/>
          <w:b/>
          <w:bCs/>
          <w:sz w:val="20"/>
          <w:szCs w:val="20"/>
        </w:rPr>
      </w:pPr>
      <w:r w:rsidRPr="005D2DE5">
        <w:rPr>
          <w:rFonts w:ascii="Cambria" w:hAnsi="Cambria"/>
          <w:b/>
          <w:bCs/>
          <w:sz w:val="20"/>
          <w:szCs w:val="20"/>
        </w:rPr>
        <w:t>ABSTRACT</w:t>
      </w:r>
    </w:p>
    <w:p w14:paraId="1050FF04" w14:textId="77777777" w:rsidR="00342B39" w:rsidRPr="005D2DE5" w:rsidRDefault="00342B39" w:rsidP="005D2DE5">
      <w:pPr>
        <w:ind w:left="567" w:right="515"/>
        <w:jc w:val="both"/>
        <w:rPr>
          <w:rFonts w:ascii="Cambria" w:hAnsi="Cambria"/>
          <w:sz w:val="20"/>
          <w:szCs w:val="20"/>
        </w:rPr>
      </w:pPr>
    </w:p>
    <w:p w14:paraId="7C3679E3" w14:textId="3DAE4A65" w:rsidR="002A4B26" w:rsidRPr="002A4B26" w:rsidRDefault="002A4B26" w:rsidP="005A6C4E">
      <w:pPr>
        <w:spacing w:line="200" w:lineRule="exact"/>
        <w:ind w:left="540" w:right="560"/>
        <w:jc w:val="both"/>
        <w:rPr>
          <w:rFonts w:ascii="Cambria" w:eastAsia="Times New Roman" w:hAnsi="Cambria" w:cs="Times New Roman"/>
          <w:i/>
          <w:sz w:val="20"/>
          <w:szCs w:val="20"/>
          <w:lang w:val="en-US" w:bidi="en-US"/>
        </w:rPr>
      </w:pPr>
      <w:r w:rsidRPr="002A4B26">
        <w:rPr>
          <w:rFonts w:ascii="Cambria" w:eastAsia="Times New Roman" w:hAnsi="Cambria" w:cs="Times New Roman"/>
          <w:i/>
          <w:sz w:val="20"/>
          <w:szCs w:val="20"/>
          <w:lang w:val="en-US" w:bidi="en-US"/>
        </w:rPr>
        <w:t>Artificial Intelligence (AI) is increasingly reshaping higher education, influencing how universities approach pedagogy, assessment, and the student learning experience. This article undertakes a structured review of recent literature to critically examine the opportunities and challenges of AI integration in higher education, with a particular emphasis on pedagogical transformation. The study draws upon empirical findings, policy reports, and case studies published between 2019 and 2025, including examples from the Malaysian higher education sector. Results indicate that AI-driven tools such as adaptive learning platforms, intelligent tutoring systems, immersive virtual reality powered by generative AI, and automated assessment systems have enabled more personalized, efficient, and innovative forms of learning. These developments align with global trends toward student-centered, data-driven, and digitally mediated education. However, significant concerns remain regarding ethics, data privacy, algorithmic bias, academic integrity, and faculty readiness. Challenges of inequitable access, particularly evident in developing contexts, further complicate implementation. The discussion emphasizes the ne</w:t>
      </w:r>
      <w:r w:rsidR="007F792C">
        <w:rPr>
          <w:rFonts w:ascii="Cambria" w:eastAsia="Times New Roman" w:hAnsi="Cambria" w:cs="Times New Roman"/>
          <w:i/>
          <w:sz w:val="20"/>
          <w:szCs w:val="20"/>
          <w:lang w:val="en-US" w:bidi="en-US"/>
        </w:rPr>
        <w:t>ed</w:t>
      </w:r>
      <w:r w:rsidRPr="002A4B26">
        <w:rPr>
          <w:rFonts w:ascii="Cambria" w:eastAsia="Times New Roman" w:hAnsi="Cambria" w:cs="Times New Roman"/>
          <w:i/>
          <w:sz w:val="20"/>
          <w:szCs w:val="20"/>
          <w:lang w:val="en-US" w:bidi="en-US"/>
        </w:rPr>
        <w:t xml:space="preserve"> </w:t>
      </w:r>
      <w:r w:rsidR="007F792C">
        <w:rPr>
          <w:rFonts w:ascii="Cambria" w:eastAsia="Times New Roman" w:hAnsi="Cambria" w:cs="Times New Roman"/>
          <w:i/>
          <w:sz w:val="20"/>
          <w:szCs w:val="20"/>
          <w:lang w:val="en-US" w:bidi="en-US"/>
        </w:rPr>
        <w:t>for</w:t>
      </w:r>
      <w:r w:rsidRPr="002A4B26">
        <w:rPr>
          <w:rFonts w:ascii="Cambria" w:eastAsia="Times New Roman" w:hAnsi="Cambria" w:cs="Times New Roman"/>
          <w:i/>
          <w:sz w:val="20"/>
          <w:szCs w:val="20"/>
          <w:lang w:val="en-US" w:bidi="en-US"/>
        </w:rPr>
        <w:t xml:space="preserve"> a balanced</w:t>
      </w:r>
      <w:r w:rsidR="007F792C">
        <w:rPr>
          <w:rFonts w:ascii="Cambria" w:eastAsia="Times New Roman" w:hAnsi="Cambria" w:cs="Times New Roman"/>
          <w:i/>
          <w:sz w:val="20"/>
          <w:szCs w:val="20"/>
          <w:lang w:val="en-US" w:bidi="en-US"/>
        </w:rPr>
        <w:t>,</w:t>
      </w:r>
      <w:r w:rsidRPr="002A4B26">
        <w:rPr>
          <w:rFonts w:ascii="Cambria" w:eastAsia="Times New Roman" w:hAnsi="Cambria" w:cs="Times New Roman"/>
          <w:i/>
          <w:sz w:val="20"/>
          <w:szCs w:val="20"/>
          <w:lang w:val="en-US" w:bidi="en-US"/>
        </w:rPr>
        <w:t xml:space="preserve"> human-centered approach to AI integration, positioning AI as a collaborative tool rather than a replacement for educators. Recommendations include developing institutional policies, providing professional training for faculty, implementing equity-focused measures, and redesigning assessment strategies. The review concludes that while AI holds transformative potential in higher education, its successful implementation depends on pedagogical alignment, ethical safeguards, and continuous institutional support.</w:t>
      </w:r>
    </w:p>
    <w:p w14:paraId="50EEE97B" w14:textId="77777777" w:rsidR="002A4B26" w:rsidRPr="002A4B26" w:rsidRDefault="002A4B26" w:rsidP="005A6C4E">
      <w:pPr>
        <w:spacing w:line="200" w:lineRule="exact"/>
        <w:ind w:left="540" w:right="560"/>
        <w:jc w:val="both"/>
        <w:rPr>
          <w:rFonts w:ascii="Cambria" w:eastAsia="Times New Roman" w:hAnsi="Cambria" w:cs="Times New Roman"/>
          <w:i/>
          <w:sz w:val="20"/>
          <w:szCs w:val="20"/>
          <w:lang w:val="en-US" w:bidi="en-US"/>
        </w:rPr>
      </w:pPr>
    </w:p>
    <w:p w14:paraId="788002CD" w14:textId="77777777" w:rsidR="002A4B26" w:rsidRPr="002A4B26" w:rsidRDefault="002A4B26" w:rsidP="005A6C4E">
      <w:pPr>
        <w:ind w:left="540" w:right="560"/>
        <w:jc w:val="both"/>
        <w:rPr>
          <w:rFonts w:ascii="Cambria" w:eastAsia="Times New Roman" w:hAnsi="Cambria" w:cs="Times New Roman"/>
          <w:i/>
          <w:sz w:val="20"/>
          <w:szCs w:val="22"/>
          <w:lang w:val="en-US" w:bidi="en-US"/>
        </w:rPr>
      </w:pPr>
      <w:r w:rsidRPr="002A4B26">
        <w:rPr>
          <w:rFonts w:ascii="Cambria" w:eastAsia="Times New Roman" w:hAnsi="Cambria" w:cs="Times New Roman"/>
          <w:b/>
          <w:bCs/>
          <w:iCs/>
          <w:sz w:val="20"/>
          <w:szCs w:val="22"/>
          <w:lang w:val="en-US" w:bidi="en-US"/>
        </w:rPr>
        <w:t>Keywords</w:t>
      </w:r>
      <w:r w:rsidRPr="002A4B26">
        <w:rPr>
          <w:rFonts w:ascii="Cambria" w:eastAsia="Times New Roman" w:hAnsi="Cambria" w:cs="Times New Roman"/>
          <w:iCs/>
          <w:sz w:val="20"/>
          <w:szCs w:val="22"/>
          <w:lang w:val="en-US" w:bidi="en-US"/>
        </w:rPr>
        <w:t>:</w:t>
      </w:r>
      <w:r w:rsidRPr="002A4B26">
        <w:rPr>
          <w:rFonts w:ascii="Cambria" w:eastAsia="Times New Roman" w:hAnsi="Cambria" w:cs="Times New Roman"/>
          <w:i/>
          <w:sz w:val="20"/>
          <w:szCs w:val="22"/>
          <w:lang w:val="en-US" w:bidi="en-US"/>
        </w:rPr>
        <w:t xml:space="preserve"> Artificial Intelligence, higher education, pedagogy, adaptive learning, academic integrity, Malaysia, generative AI</w:t>
      </w:r>
    </w:p>
    <w:p w14:paraId="1E19F97D" w14:textId="77777777" w:rsidR="005D2DE5" w:rsidRDefault="005D2DE5" w:rsidP="005D2DE5">
      <w:pPr>
        <w:ind w:left="567" w:right="515"/>
        <w:jc w:val="both"/>
        <w:rPr>
          <w:rFonts w:ascii="Cambria" w:hAnsi="Cambria"/>
          <w:sz w:val="22"/>
          <w:szCs w:val="22"/>
        </w:rPr>
      </w:pPr>
    </w:p>
    <w:p w14:paraId="69569888" w14:textId="77777777" w:rsidR="002A4B26" w:rsidRPr="005D2DE5" w:rsidRDefault="002A4B26" w:rsidP="005D2DE5">
      <w:pPr>
        <w:ind w:left="567" w:right="515"/>
        <w:jc w:val="both"/>
        <w:rPr>
          <w:rFonts w:ascii="Cambria" w:hAnsi="Cambria"/>
          <w:sz w:val="22"/>
          <w:szCs w:val="22"/>
        </w:rPr>
      </w:pPr>
    </w:p>
    <w:p w14:paraId="6584FFC2" w14:textId="77777777" w:rsidR="00342B39" w:rsidRPr="005D2DE5" w:rsidRDefault="00342B39" w:rsidP="00A10FE5">
      <w:pPr>
        <w:pStyle w:val="ListParagraph"/>
        <w:numPr>
          <w:ilvl w:val="0"/>
          <w:numId w:val="2"/>
        </w:numPr>
        <w:ind w:left="567" w:hanging="567"/>
        <w:rPr>
          <w:rFonts w:ascii="Cambria" w:hAnsi="Cambria"/>
          <w:b/>
          <w:bCs/>
          <w:sz w:val="22"/>
          <w:szCs w:val="22"/>
        </w:rPr>
      </w:pPr>
      <w:r w:rsidRPr="005D2DE5">
        <w:rPr>
          <w:rFonts w:ascii="Cambria" w:hAnsi="Cambria"/>
          <w:b/>
          <w:bCs/>
          <w:sz w:val="22"/>
          <w:szCs w:val="22"/>
        </w:rPr>
        <w:t>INTRODUCTION</w:t>
      </w:r>
    </w:p>
    <w:p w14:paraId="3A549D07" w14:textId="77777777" w:rsidR="00342B39" w:rsidRPr="00110C57" w:rsidRDefault="00342B39" w:rsidP="00342B39">
      <w:pPr>
        <w:rPr>
          <w:rFonts w:ascii="Cambria" w:hAnsi="Cambria"/>
          <w:sz w:val="22"/>
          <w:szCs w:val="22"/>
        </w:rPr>
      </w:pPr>
    </w:p>
    <w:p w14:paraId="62C148D6" w14:textId="77777777" w:rsidR="00110C57" w:rsidRPr="00110C57" w:rsidRDefault="00110C57" w:rsidP="00110C57">
      <w:pPr>
        <w:jc w:val="both"/>
        <w:rPr>
          <w:rFonts w:ascii="Cambria" w:eastAsia="Times New Roman" w:hAnsi="Cambria" w:cs="Times New Roman"/>
          <w:noProof/>
          <w:sz w:val="22"/>
          <w:szCs w:val="22"/>
          <w:lang w:val="en-MY" w:eastAsia="en-MY"/>
        </w:rPr>
      </w:pPr>
      <w:r w:rsidRPr="00110C57">
        <w:rPr>
          <w:rFonts w:ascii="Cambria" w:eastAsia="Times New Roman" w:hAnsi="Cambria" w:cs="Times New Roman"/>
          <w:noProof/>
          <w:sz w:val="22"/>
          <w:szCs w:val="22"/>
          <w:lang w:val="en-MY" w:eastAsia="en-MY"/>
        </w:rPr>
        <w:t>The expansion of Artificial Intelligence (AI) technologies has become one of the defining features of contemporary higher education. Once perceived as futuristic, AI is now integrated into the everyday practices of universities worldwide. Its influence extends from administrative processes to pedagogy, curriculum design, assessment, and student engagement. This development reflects broader societal transitions driven by the Fourth Industrial Revolution (IR 4.0), where automation, robotics, and machine learning increasingly determine the skills required for employability (Aoun, 2020). For universities, the central challenge is how to prepare students for an AI-saturated future while simultaneously adopting AI tools to enhance teaching and learning.</w:t>
      </w:r>
    </w:p>
    <w:p w14:paraId="2C1425A4" w14:textId="77777777" w:rsidR="00110C57" w:rsidRPr="00110C57" w:rsidRDefault="00110C57" w:rsidP="00110C57">
      <w:pPr>
        <w:jc w:val="both"/>
        <w:rPr>
          <w:rFonts w:ascii="Cambria" w:eastAsia="Times New Roman" w:hAnsi="Cambria" w:cs="Times New Roman"/>
          <w:noProof/>
          <w:sz w:val="22"/>
          <w:szCs w:val="22"/>
          <w:lang w:val="en-MY" w:eastAsia="en-MY"/>
        </w:rPr>
      </w:pPr>
    </w:p>
    <w:p w14:paraId="1BF4CDA3" w14:textId="77777777" w:rsidR="00110C57" w:rsidRPr="00110C57" w:rsidRDefault="00110C57" w:rsidP="00110C57">
      <w:pPr>
        <w:jc w:val="both"/>
        <w:rPr>
          <w:rFonts w:ascii="Cambria" w:eastAsia="Times New Roman" w:hAnsi="Cambria" w:cs="Times New Roman"/>
          <w:noProof/>
          <w:sz w:val="22"/>
          <w:szCs w:val="22"/>
          <w:lang w:val="en-MY" w:eastAsia="en-MY"/>
        </w:rPr>
      </w:pPr>
      <w:r w:rsidRPr="00110C57">
        <w:rPr>
          <w:rFonts w:ascii="Cambria" w:eastAsia="Times New Roman" w:hAnsi="Cambria" w:cs="Times New Roman"/>
          <w:noProof/>
          <w:sz w:val="22"/>
          <w:szCs w:val="22"/>
          <w:lang w:val="en-MY" w:eastAsia="en-MY"/>
        </w:rPr>
        <w:t xml:space="preserve">AI applications in higher education are diverse and varied. Adaptive learning platforms track learner progress and dynamically adjust instructional pathways. Intelligent tutoring systems simulate aspects of one-to-one mentorship by providing targeted feedback and problem-solving support. Generative AI, exemplified by ChatGPT, DALL·E, and related tools, enables new forms of knowledge creation, brainstorming, and multimodal learning. At the same time, learning management systems (LMS) embedded with AI can automate grading, plagiarism detection, and participation tracking, thereby reducing repetitive faculty tasks and promoting more consistent feedback (Dwivedi et al., 2021). In Malaysia, several universities, including Universiti Malaya, </w:t>
      </w:r>
      <w:r w:rsidRPr="00110C57">
        <w:rPr>
          <w:rFonts w:ascii="Cambria" w:eastAsia="Times New Roman" w:hAnsi="Cambria" w:cs="Times New Roman"/>
          <w:noProof/>
          <w:sz w:val="22"/>
          <w:szCs w:val="22"/>
          <w:lang w:val="en-MY" w:eastAsia="en-MY"/>
        </w:rPr>
        <w:lastRenderedPageBreak/>
        <w:t>Universiti Teknikal Malaysia Melaka (UTeM), and UNITAR International University, have already begun deploying AI systems for course management, assessment, and student support services, yielding measurable time savings and efficiency gains.</w:t>
      </w:r>
    </w:p>
    <w:p w14:paraId="19819D84" w14:textId="77777777" w:rsidR="00110C57" w:rsidRPr="00110C57" w:rsidRDefault="00110C57" w:rsidP="00110C57">
      <w:pPr>
        <w:jc w:val="both"/>
        <w:rPr>
          <w:rFonts w:ascii="Cambria" w:eastAsia="Times New Roman" w:hAnsi="Cambria" w:cs="Times New Roman"/>
          <w:noProof/>
          <w:sz w:val="22"/>
          <w:szCs w:val="22"/>
          <w:lang w:val="en-MY" w:eastAsia="en-MY"/>
        </w:rPr>
      </w:pPr>
      <w:r w:rsidRPr="00110C57">
        <w:rPr>
          <w:rFonts w:ascii="Cambria" w:eastAsia="Times New Roman" w:hAnsi="Cambria" w:cs="Times New Roman"/>
          <w:noProof/>
          <w:sz w:val="22"/>
          <w:szCs w:val="22"/>
          <w:lang w:val="en-MY" w:eastAsia="en-MY"/>
        </w:rPr>
        <w:t>However, the rapid adoption of AI also raises pressing questions. Critics point to ethical dilemmas involving student data privacy, algorithmic transparency, and fairness in automated assessment (Jobin, Ienca, &amp; Vayena, 2019). Generative AI complicates long-standing issues of academic integrity by blurring boundaries between authentic student work and AI-assisted outputs (Cotton, Cotton, &amp; Shipway, 2023). Moreover, the benefits of AI are not evenly distributed; inequities in digital access and AI literacy risk widening educational divides both globally and within national systems (UNESCO, 2023). Faculty readiness further complicates matters: while some academics embrace AI as an opportunity for pedagogical innovation, others perceive it as a threat to traditional teaching roles, reporting anxieties over workload, replacement, and loss of control (Qian et al., 2025).</w:t>
      </w:r>
    </w:p>
    <w:p w14:paraId="1C848661" w14:textId="77777777" w:rsidR="00110C57" w:rsidRPr="00110C57" w:rsidRDefault="00110C57" w:rsidP="00110C57">
      <w:pPr>
        <w:jc w:val="both"/>
        <w:rPr>
          <w:rFonts w:ascii="Cambria" w:eastAsia="Times New Roman" w:hAnsi="Cambria" w:cs="Times New Roman"/>
          <w:noProof/>
          <w:sz w:val="22"/>
          <w:szCs w:val="22"/>
          <w:lang w:val="en-MY" w:eastAsia="en-MY"/>
        </w:rPr>
      </w:pPr>
    </w:p>
    <w:p w14:paraId="2323FE46" w14:textId="77777777" w:rsidR="00110C57" w:rsidRPr="00110C57" w:rsidRDefault="00110C57" w:rsidP="00110C57">
      <w:pPr>
        <w:jc w:val="both"/>
        <w:rPr>
          <w:rFonts w:ascii="Cambria" w:eastAsia="Times New Roman" w:hAnsi="Cambria" w:cs="Times New Roman"/>
          <w:sz w:val="22"/>
          <w:szCs w:val="22"/>
          <w:lang w:bidi="en-US"/>
        </w:rPr>
      </w:pPr>
      <w:r w:rsidRPr="00110C57">
        <w:rPr>
          <w:rFonts w:ascii="Cambria" w:eastAsia="Times New Roman" w:hAnsi="Cambria" w:cs="Times New Roman"/>
          <w:noProof/>
          <w:sz w:val="22"/>
          <w:szCs w:val="22"/>
          <w:lang w:val="en-MY" w:eastAsia="en-MY"/>
        </w:rPr>
        <w:t>Against this backdrop, this paper examines the pedagogical transformation brought about by AI in higher education. It aims to synthesize emerging opportunities and challenges in order to provide recommendations for educators, policymakers, and institutional leaders. By incorporating case studies from Malaysia alongside global research, the article situates local experiences within wider debates. The contribution of this paper lies in offering a balanced and structured assessment of AI in higher education, emphasizing the need for human-centered adoption that enhances rather than diminishes the educational mission of universities.</w:t>
      </w:r>
      <w:r w:rsidRPr="00110C57">
        <w:rPr>
          <w:rFonts w:ascii="Cambria" w:eastAsia="Times New Roman" w:hAnsi="Cambria" w:cs="Times New Roman"/>
          <w:sz w:val="22"/>
          <w:szCs w:val="22"/>
          <w:lang w:bidi="en-US"/>
        </w:rPr>
        <w:t xml:space="preserve"> </w:t>
      </w:r>
    </w:p>
    <w:p w14:paraId="04CE8AFB" w14:textId="77777777" w:rsidR="00A10FE5" w:rsidRDefault="00A10FE5" w:rsidP="00342B39">
      <w:pPr>
        <w:rPr>
          <w:rFonts w:ascii="Cambria" w:hAnsi="Cambria"/>
          <w:sz w:val="22"/>
          <w:szCs w:val="22"/>
        </w:rPr>
      </w:pPr>
    </w:p>
    <w:p w14:paraId="18863CDF" w14:textId="77777777" w:rsidR="00DD118B" w:rsidRPr="00110C57" w:rsidRDefault="00DD118B" w:rsidP="00342B39">
      <w:pPr>
        <w:rPr>
          <w:rFonts w:ascii="Cambria" w:hAnsi="Cambria"/>
          <w:sz w:val="22"/>
          <w:szCs w:val="22"/>
        </w:rPr>
      </w:pPr>
    </w:p>
    <w:p w14:paraId="02B6835F" w14:textId="07D33E78" w:rsidR="00342B39" w:rsidRPr="00111002" w:rsidRDefault="004938AD" w:rsidP="00A10FE5">
      <w:pPr>
        <w:pStyle w:val="ListParagraph"/>
        <w:numPr>
          <w:ilvl w:val="0"/>
          <w:numId w:val="2"/>
        </w:numPr>
        <w:ind w:left="567" w:hanging="567"/>
        <w:rPr>
          <w:rFonts w:ascii="Cambria" w:hAnsi="Cambria"/>
          <w:b/>
          <w:bCs/>
          <w:sz w:val="22"/>
          <w:szCs w:val="22"/>
        </w:rPr>
      </w:pPr>
      <w:r>
        <w:rPr>
          <w:rFonts w:ascii="Cambria" w:hAnsi="Cambria"/>
          <w:b/>
          <w:bCs/>
          <w:sz w:val="22"/>
          <w:szCs w:val="22"/>
        </w:rPr>
        <w:t xml:space="preserve">LITERATURE REVIEW </w:t>
      </w:r>
    </w:p>
    <w:p w14:paraId="2EDA923A" w14:textId="77777777" w:rsidR="00342B39" w:rsidRPr="005D2DE5" w:rsidRDefault="00342B39" w:rsidP="00342B39">
      <w:pPr>
        <w:rPr>
          <w:rFonts w:ascii="Cambria" w:hAnsi="Cambria"/>
        </w:rPr>
      </w:pPr>
    </w:p>
    <w:p w14:paraId="52BE5F13"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r w:rsidRPr="004938AD">
        <w:rPr>
          <w:rFonts w:ascii="Cambria" w:eastAsia="Times New Roman" w:hAnsi="Cambria" w:cs="Times New Roman"/>
          <w:noProof/>
          <w:color w:val="000000"/>
          <w:sz w:val="22"/>
          <w:szCs w:val="22"/>
          <w:lang w:val="en-MY" w:eastAsia="en-MY"/>
        </w:rPr>
        <w:t>Research on AI in higher education has accelerated markedly since 2019, with an exponential surge following the release of generative AI tools in 2022–2023. Early work highlighted the promise of adaptive learning platforms in tailoring instruction to diverse learner needs. Chen et al. (2020) and Zhu et al. (2024) demonstrated that adaptive systems could significantly improve retention and engagement by adjusting to individual progress, while Zhu et al. (2024) confirmed that such systems reduce dropout rates and support inclusive participation. More recent systematic reviews underscore the maturing of the field. Luo et al. (2025), analyzing 63 studies published between 2014 and 2024, concluded that AI tools consistently improved cognitive and affective outcomes, though their impact on higher-order skills such as critical thinking and creativity remained uneven.</w:t>
      </w:r>
    </w:p>
    <w:p w14:paraId="6C523A16"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p>
    <w:p w14:paraId="298B4432"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r w:rsidRPr="004938AD">
        <w:rPr>
          <w:rFonts w:ascii="Cambria" w:eastAsia="Times New Roman" w:hAnsi="Cambria" w:cs="Times New Roman"/>
          <w:noProof/>
          <w:color w:val="000000"/>
          <w:sz w:val="22"/>
          <w:szCs w:val="22"/>
          <w:lang w:val="en-MY" w:eastAsia="en-MY"/>
        </w:rPr>
        <w:t>Generative AI represents the most significant pedagogical development of recent years. Qian et al. (2025) identified emergent uses of tools like ChatGPT for brainstorming, essay drafting, and enhancing student creativity. They also introduced the concept of “prompt literacy” as an essential competency for both students and faculty. Case studies illustrate that when generative AI is incorporated into assignment design, such as requiring students to use AI in early drafting followed by critical reflection, student satisfaction and engagement increase (Belkina, 2025). Similarly, research in immersive environments highlights the potential of combining generative AI with virtual reality (VR). Hemminki-Reijonen et al. (2025) reported that generative AI-powered pedagogical characters in VR environments improved engagement and fostered collaborative learning, though they also demanded substantial faculty training and technical support.</w:t>
      </w:r>
    </w:p>
    <w:p w14:paraId="5EC402B6"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p>
    <w:p w14:paraId="20A8E413"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r w:rsidRPr="004938AD">
        <w:rPr>
          <w:rFonts w:ascii="Cambria" w:eastAsia="Times New Roman" w:hAnsi="Cambria" w:cs="Times New Roman"/>
          <w:noProof/>
          <w:color w:val="000000"/>
          <w:sz w:val="22"/>
          <w:szCs w:val="22"/>
          <w:lang w:val="en-MY" w:eastAsia="en-MY"/>
        </w:rPr>
        <w:t xml:space="preserve">The literature also highlights applications of AI beyond content delivery. Studies from Malaysia (UTeM, 2023; UNITAR, 2023) show that AI adoption within University Management Systems has yielded up to 60% time savings for academic staff. These systems automate administrative tasks such as attendance monitoring, plagiarism detection, and resource allocation, thereby enabling educators to concentrate on higher-order teaching activities. Similar results have been observed internationally, where AI chatbots provide 24/7 student support, AI-powered libraries </w:t>
      </w:r>
      <w:r w:rsidRPr="004938AD">
        <w:rPr>
          <w:rFonts w:ascii="Cambria" w:eastAsia="Times New Roman" w:hAnsi="Cambria" w:cs="Times New Roman"/>
          <w:noProof/>
          <w:color w:val="000000"/>
          <w:sz w:val="22"/>
          <w:szCs w:val="22"/>
          <w:lang w:val="en-MY" w:eastAsia="en-MY"/>
        </w:rPr>
        <w:lastRenderedPageBreak/>
        <w:t>streamline research, and intelligent analytics predict student performance trends (Nkambou, Bourdeau, &amp; Mizoguchi, 2022).</w:t>
      </w:r>
    </w:p>
    <w:p w14:paraId="0A426C38"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p>
    <w:p w14:paraId="313E667A"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r w:rsidRPr="004938AD">
        <w:rPr>
          <w:rFonts w:ascii="Cambria" w:eastAsia="Times New Roman" w:hAnsi="Cambria" w:cs="Times New Roman"/>
          <w:noProof/>
          <w:color w:val="000000"/>
          <w:sz w:val="22"/>
          <w:szCs w:val="22"/>
          <w:lang w:val="en-MY" w:eastAsia="en-MY"/>
        </w:rPr>
        <w:t>Yet challenges are equally prominent in the literature. Jobin et al. (2019) mapped the global landscape of AI ethics guidelines, revealing significant gaps in transparency, accountability, and fairness. Jobin et al. (2019), UNESCO (2023), and Cotton et al. (2023) warned that generative AI risks undermining academic integrity unless institutions redesign assessments to focus on creativity, reflection, and oral defense of work. UNESCO’s (2023) guidance for policymakers stressed that unless access and literacy issues are addressed, AI adoption may deepen rather than reduce inequalities. Importantly, recent reviews emphasize student well-being as an overlooked area. Klimova et al. (2025) found that while AI can support mental health through chatbots and assistive tools, excessive reliance also contributes to technostress, digital fatigue, and reduced interpersonal engagement.</w:t>
      </w:r>
    </w:p>
    <w:p w14:paraId="41EE30C2" w14:textId="77777777" w:rsidR="004938AD" w:rsidRPr="004938AD" w:rsidRDefault="004938AD" w:rsidP="004938AD">
      <w:pPr>
        <w:jc w:val="both"/>
        <w:rPr>
          <w:rFonts w:ascii="Cambria" w:eastAsia="Times New Roman" w:hAnsi="Cambria" w:cs="Times New Roman"/>
          <w:noProof/>
          <w:color w:val="000000"/>
          <w:sz w:val="22"/>
          <w:szCs w:val="22"/>
          <w:lang w:val="en-MY" w:eastAsia="en-MY"/>
        </w:rPr>
      </w:pPr>
    </w:p>
    <w:p w14:paraId="69D16588" w14:textId="77777777" w:rsidR="004938AD" w:rsidRPr="004938AD" w:rsidRDefault="004938AD" w:rsidP="004938AD">
      <w:pPr>
        <w:jc w:val="both"/>
        <w:rPr>
          <w:rFonts w:ascii="Cambria" w:eastAsia="Times New Roman" w:hAnsi="Cambria" w:cs="Times New Roman"/>
          <w:sz w:val="22"/>
          <w:szCs w:val="22"/>
          <w:lang w:bidi="en-US"/>
        </w:rPr>
      </w:pPr>
      <w:r w:rsidRPr="004938AD">
        <w:rPr>
          <w:rFonts w:ascii="Cambria" w:eastAsia="Times New Roman" w:hAnsi="Cambria" w:cs="Times New Roman"/>
          <w:noProof/>
          <w:color w:val="000000"/>
          <w:sz w:val="22"/>
          <w:szCs w:val="22"/>
          <w:lang w:val="en-MY" w:eastAsia="en-MY"/>
        </w:rPr>
        <w:t>Overall, the literature demonstrates both optimism and caution. While AI tools have proven effective in improving personalization, efficiency, and innovation, they simultaneously raise critical questions about ethics, equity, and sustainability. This duality underscores the need for structured approaches to reviewing, adopting, and governing AI in higher education, which motivates the methodological design of the present study.</w:t>
      </w:r>
    </w:p>
    <w:p w14:paraId="352DA4EB" w14:textId="77777777" w:rsidR="00A10FE5" w:rsidRDefault="00A10FE5" w:rsidP="00342B39">
      <w:pPr>
        <w:rPr>
          <w:rFonts w:ascii="Cambria" w:hAnsi="Cambria"/>
          <w:sz w:val="22"/>
          <w:szCs w:val="22"/>
        </w:rPr>
      </w:pPr>
    </w:p>
    <w:p w14:paraId="2EAF64C6" w14:textId="77777777" w:rsidR="00F55EC4" w:rsidRPr="00482288" w:rsidRDefault="00F55EC4" w:rsidP="00342B39">
      <w:pPr>
        <w:rPr>
          <w:rFonts w:ascii="Cambria" w:hAnsi="Cambria"/>
          <w:sz w:val="22"/>
          <w:szCs w:val="22"/>
        </w:rPr>
      </w:pPr>
    </w:p>
    <w:p w14:paraId="76E4B61C" w14:textId="103088C4" w:rsidR="00B2008F" w:rsidRDefault="00342B39" w:rsidP="00B2008F">
      <w:pPr>
        <w:pStyle w:val="ListParagraph"/>
        <w:numPr>
          <w:ilvl w:val="0"/>
          <w:numId w:val="2"/>
        </w:numPr>
        <w:ind w:left="567" w:hanging="567"/>
        <w:rPr>
          <w:rFonts w:ascii="Cambria" w:hAnsi="Cambria"/>
          <w:b/>
          <w:bCs/>
          <w:sz w:val="22"/>
          <w:szCs w:val="22"/>
        </w:rPr>
      </w:pPr>
      <w:r w:rsidRPr="00A10FE5">
        <w:rPr>
          <w:rFonts w:ascii="Cambria" w:hAnsi="Cambria"/>
          <w:b/>
          <w:bCs/>
          <w:sz w:val="22"/>
          <w:szCs w:val="22"/>
        </w:rPr>
        <w:t>METHOD</w:t>
      </w:r>
      <w:r w:rsidR="00B2008F">
        <w:rPr>
          <w:rFonts w:ascii="Cambria" w:hAnsi="Cambria"/>
          <w:b/>
          <w:bCs/>
          <w:sz w:val="22"/>
          <w:szCs w:val="22"/>
        </w:rPr>
        <w:t xml:space="preserve">OLOGY </w:t>
      </w:r>
    </w:p>
    <w:p w14:paraId="3F7478F3" w14:textId="77777777" w:rsidR="00B2008F" w:rsidRDefault="00B2008F" w:rsidP="00B2008F">
      <w:pPr>
        <w:rPr>
          <w:rFonts w:ascii="Cambria" w:eastAsia="Times New Roman" w:hAnsi="Cambria" w:cs="Arial"/>
          <w:sz w:val="22"/>
          <w:szCs w:val="22"/>
          <w:lang w:val="en-MY" w:eastAsia="en-MY" w:bidi="en-US"/>
        </w:rPr>
      </w:pPr>
    </w:p>
    <w:p w14:paraId="68879268" w14:textId="77777777" w:rsidR="00741B88" w:rsidRDefault="00A8223D" w:rsidP="00F55EC4">
      <w:pPr>
        <w:jc w:val="both"/>
        <w:rPr>
          <w:rFonts w:ascii="Cambria" w:hAnsi="Cambria"/>
          <w:b/>
          <w:bCs/>
          <w:sz w:val="22"/>
          <w:szCs w:val="22"/>
        </w:rPr>
      </w:pPr>
      <w:r w:rsidRPr="00B2008F">
        <w:rPr>
          <w:rFonts w:ascii="Cambria" w:eastAsia="Times New Roman" w:hAnsi="Cambria" w:cs="Arial"/>
          <w:sz w:val="22"/>
          <w:szCs w:val="22"/>
          <w:lang w:val="en-MY" w:eastAsia="en-MY" w:bidi="en-US"/>
        </w:rPr>
        <w:t xml:space="preserve">This article employs a </w:t>
      </w:r>
      <w:r w:rsidRPr="00B85298">
        <w:rPr>
          <w:rFonts w:ascii="Cambria" w:eastAsia="Times New Roman" w:hAnsi="Cambria" w:cs="Arial"/>
          <w:sz w:val="22"/>
          <w:szCs w:val="22"/>
          <w:lang w:val="en-MY" w:eastAsia="en-MY" w:bidi="en-US"/>
        </w:rPr>
        <w:t>Systematic Literature Review (SLR) guided by the Preferred Reporting Items for Systematic Reviews and Meta-Analyses (PRISMA) framework</w:t>
      </w:r>
      <w:r w:rsidRPr="00B2008F">
        <w:rPr>
          <w:rFonts w:ascii="Cambria" w:eastAsia="Times New Roman" w:hAnsi="Cambria" w:cs="Arial"/>
          <w:sz w:val="22"/>
          <w:szCs w:val="22"/>
          <w:lang w:val="en-MY" w:eastAsia="en-MY" w:bidi="en-US"/>
        </w:rPr>
        <w:t xml:space="preserve"> to ensure transparency and replicability.</w:t>
      </w:r>
    </w:p>
    <w:p w14:paraId="460BC4F7" w14:textId="77777777" w:rsidR="00741B88" w:rsidRDefault="00741B88" w:rsidP="00F55EC4">
      <w:pPr>
        <w:jc w:val="both"/>
        <w:rPr>
          <w:rFonts w:ascii="Cambria" w:hAnsi="Cambria"/>
          <w:b/>
          <w:bCs/>
          <w:sz w:val="22"/>
          <w:szCs w:val="22"/>
        </w:rPr>
      </w:pPr>
    </w:p>
    <w:p w14:paraId="5687B269" w14:textId="77777777" w:rsidR="00741B88" w:rsidRDefault="00A8223D" w:rsidP="00F55EC4">
      <w:pPr>
        <w:jc w:val="both"/>
        <w:rPr>
          <w:rFonts w:ascii="Cambria" w:hAnsi="Cambria"/>
          <w:b/>
          <w:bCs/>
          <w:sz w:val="22"/>
          <w:szCs w:val="22"/>
        </w:rPr>
      </w:pPr>
      <w:r w:rsidRPr="00A8223D">
        <w:rPr>
          <w:rFonts w:ascii="Cambria" w:eastAsia="Times New Roman" w:hAnsi="Cambria" w:cs="Arial"/>
          <w:sz w:val="22"/>
          <w:szCs w:val="22"/>
          <w:lang w:val="en-MY" w:eastAsia="en-MY" w:bidi="en-US"/>
        </w:rPr>
        <w:t xml:space="preserve">The search strategy targeted four major academic databases: Scopus, Web of Science, ERIC, and Google Scholar, complemented by searches in Springer, ScienceDirect, and MDPI for additional coverage. Keywords included </w:t>
      </w:r>
      <w:r w:rsidRPr="00A8223D">
        <w:rPr>
          <w:rFonts w:ascii="Cambria" w:eastAsia="Times New Roman" w:hAnsi="Cambria" w:cs="Arial"/>
          <w:i/>
          <w:iCs/>
          <w:sz w:val="22"/>
          <w:szCs w:val="22"/>
          <w:lang w:val="en-MY" w:eastAsia="en-MY" w:bidi="en-US"/>
        </w:rPr>
        <w:t>“Artificial Intelligence in higher education,” “AI pedagogy,” “adaptive learning,” “generative AI teaching,” “AI and academic integrity,”</w:t>
      </w:r>
      <w:r w:rsidRPr="00A8223D">
        <w:rPr>
          <w:rFonts w:ascii="Cambria" w:eastAsia="Times New Roman" w:hAnsi="Cambria" w:cs="Arial"/>
          <w:sz w:val="22"/>
          <w:szCs w:val="22"/>
          <w:lang w:val="en-MY" w:eastAsia="en-MY" w:bidi="en-US"/>
        </w:rPr>
        <w:t xml:space="preserve"> and </w:t>
      </w:r>
      <w:r w:rsidRPr="00A8223D">
        <w:rPr>
          <w:rFonts w:ascii="Cambria" w:eastAsia="Times New Roman" w:hAnsi="Cambria" w:cs="Arial"/>
          <w:i/>
          <w:iCs/>
          <w:sz w:val="22"/>
          <w:szCs w:val="22"/>
          <w:lang w:val="en-MY" w:eastAsia="en-MY" w:bidi="en-US"/>
        </w:rPr>
        <w:t>“AI faculty readiness.”</w:t>
      </w:r>
      <w:r w:rsidRPr="00A8223D">
        <w:rPr>
          <w:rFonts w:ascii="Cambria" w:eastAsia="Times New Roman" w:hAnsi="Cambria" w:cs="Arial"/>
          <w:sz w:val="22"/>
          <w:szCs w:val="22"/>
          <w:lang w:val="en-MY" w:eastAsia="en-MY" w:bidi="en-US"/>
        </w:rPr>
        <w:t xml:space="preserve"> Boolean operators were used to refine queries.</w:t>
      </w:r>
    </w:p>
    <w:p w14:paraId="23816BDD" w14:textId="77777777" w:rsidR="00741B88" w:rsidRDefault="00741B88" w:rsidP="00F55EC4">
      <w:pPr>
        <w:jc w:val="both"/>
        <w:rPr>
          <w:rFonts w:ascii="Cambria" w:hAnsi="Cambria"/>
          <w:b/>
          <w:bCs/>
          <w:sz w:val="22"/>
          <w:szCs w:val="22"/>
        </w:rPr>
      </w:pPr>
    </w:p>
    <w:p w14:paraId="29437CD6" w14:textId="77777777" w:rsidR="00741B88" w:rsidRDefault="00A8223D" w:rsidP="00F55EC4">
      <w:pPr>
        <w:jc w:val="both"/>
        <w:rPr>
          <w:rFonts w:ascii="Cambria" w:hAnsi="Cambria"/>
          <w:b/>
          <w:bCs/>
          <w:sz w:val="22"/>
          <w:szCs w:val="22"/>
        </w:rPr>
      </w:pPr>
      <w:r w:rsidRPr="00A8223D">
        <w:rPr>
          <w:rFonts w:ascii="Cambria" w:eastAsia="Times New Roman" w:hAnsi="Cambria" w:cs="Arial"/>
          <w:sz w:val="22"/>
          <w:szCs w:val="22"/>
          <w:lang w:val="en-MY" w:eastAsia="en-MY" w:bidi="en-US"/>
        </w:rPr>
        <w:t>Inclusion criteria were: (1) peer-reviewed journal articles, case studies, and policy reports published between 2019 and 2025; (2) studies focused specifically on higher education; (3) literature addressing either opportunities or challenges of AI adoption in pedagogy, assessment, or institutional practice. Exclusion criteria eliminated non-academic sources, non-English publications, and abstracts without full text.</w:t>
      </w:r>
    </w:p>
    <w:p w14:paraId="5E978690" w14:textId="77777777" w:rsidR="00741B88" w:rsidRDefault="00741B88" w:rsidP="00F55EC4">
      <w:pPr>
        <w:jc w:val="both"/>
        <w:rPr>
          <w:rFonts w:ascii="Cambria" w:hAnsi="Cambria"/>
          <w:b/>
          <w:bCs/>
          <w:sz w:val="22"/>
          <w:szCs w:val="22"/>
        </w:rPr>
      </w:pPr>
    </w:p>
    <w:p w14:paraId="452A18B2" w14:textId="77777777" w:rsidR="00741B88" w:rsidRDefault="00A8223D" w:rsidP="00F55EC4">
      <w:pPr>
        <w:jc w:val="both"/>
        <w:rPr>
          <w:rFonts w:ascii="Cambria" w:hAnsi="Cambria"/>
          <w:b/>
          <w:bCs/>
          <w:sz w:val="22"/>
          <w:szCs w:val="22"/>
        </w:rPr>
      </w:pPr>
      <w:r w:rsidRPr="00A8223D">
        <w:rPr>
          <w:rFonts w:ascii="Cambria" w:eastAsia="Times New Roman" w:hAnsi="Cambria" w:cs="Arial"/>
          <w:sz w:val="22"/>
          <w:szCs w:val="22"/>
          <w:lang w:val="en-MY" w:eastAsia="en-MY" w:bidi="en-US"/>
        </w:rPr>
        <w:t>The search identified 320 records. After duplicate removal, 250 articles remained. Titles and abstracts were screened for relevance, yielding 110 for full-text review. Following detailed screening, 70 studies were included in the final analysis. Data extraction focused on tool type, pedagogical role, methodological design, and outcomes across cognitive, affective, and skill domains.</w:t>
      </w:r>
    </w:p>
    <w:p w14:paraId="1F7B142B" w14:textId="77777777" w:rsidR="00741B88" w:rsidRDefault="00741B88" w:rsidP="00F55EC4">
      <w:pPr>
        <w:jc w:val="both"/>
        <w:rPr>
          <w:rFonts w:ascii="Cambria" w:hAnsi="Cambria"/>
          <w:b/>
          <w:bCs/>
          <w:sz w:val="22"/>
          <w:szCs w:val="22"/>
        </w:rPr>
      </w:pPr>
    </w:p>
    <w:p w14:paraId="36E322F6" w14:textId="77777777" w:rsidR="00783739" w:rsidRDefault="00A8223D" w:rsidP="00783739">
      <w:pPr>
        <w:jc w:val="both"/>
        <w:rPr>
          <w:rFonts w:ascii="Cambria" w:eastAsia="Times New Roman" w:hAnsi="Cambria" w:cs="Arial"/>
          <w:sz w:val="22"/>
          <w:szCs w:val="22"/>
          <w:lang w:val="en-MY" w:eastAsia="en-MY" w:bidi="en-US"/>
        </w:rPr>
      </w:pPr>
      <w:r w:rsidRPr="00A8223D">
        <w:rPr>
          <w:rFonts w:ascii="Cambria" w:eastAsia="Times New Roman" w:hAnsi="Cambria" w:cs="Arial"/>
          <w:sz w:val="22"/>
          <w:szCs w:val="22"/>
          <w:lang w:val="en-MY" w:eastAsia="en-MY" w:bidi="en-US"/>
        </w:rPr>
        <w:t xml:space="preserve">The PRISMA flow diagram illustrates the selection process, while extracted data were synthesized thematically around four domains: personalization and adaptive learning, efficiency and automation, pedagogical innovation, and challenges encompassing ethics, integrity, equity, and faculty readiness. Malaysian studies were </w:t>
      </w:r>
      <w:proofErr w:type="spellStart"/>
      <w:r w:rsidRPr="00A8223D">
        <w:rPr>
          <w:rFonts w:ascii="Cambria" w:eastAsia="Times New Roman" w:hAnsi="Cambria" w:cs="Arial"/>
          <w:sz w:val="22"/>
          <w:szCs w:val="22"/>
          <w:lang w:val="en-MY" w:eastAsia="en-MY" w:bidi="en-US"/>
        </w:rPr>
        <w:t>analyzed</w:t>
      </w:r>
      <w:proofErr w:type="spellEnd"/>
      <w:r w:rsidRPr="00A8223D">
        <w:rPr>
          <w:rFonts w:ascii="Cambria" w:eastAsia="Times New Roman" w:hAnsi="Cambria" w:cs="Arial"/>
          <w:sz w:val="22"/>
          <w:szCs w:val="22"/>
          <w:lang w:val="en-MY" w:eastAsia="en-MY" w:bidi="en-US"/>
        </w:rPr>
        <w:t xml:space="preserve"> alongside global evidence to highlight both contextual similarities and distinct local challenges.</w:t>
      </w:r>
    </w:p>
    <w:p w14:paraId="7FD87CCC" w14:textId="77777777" w:rsidR="00783739" w:rsidRDefault="00783739" w:rsidP="00783739">
      <w:pPr>
        <w:jc w:val="both"/>
        <w:rPr>
          <w:rFonts w:ascii="Cambria" w:eastAsia="Times New Roman" w:hAnsi="Cambria" w:cs="Arial"/>
          <w:sz w:val="22"/>
          <w:szCs w:val="22"/>
          <w:lang w:val="en-MY" w:eastAsia="en-MY" w:bidi="en-US"/>
        </w:rPr>
      </w:pPr>
    </w:p>
    <w:p w14:paraId="3BAAC1FB" w14:textId="5AF07F45" w:rsidR="00482288" w:rsidRPr="007920FF" w:rsidRDefault="0071012F" w:rsidP="00783739">
      <w:pPr>
        <w:jc w:val="both"/>
        <w:rPr>
          <w:rFonts w:ascii="Cambria" w:eastAsia="SimSun" w:hAnsi="Cambria" w:cs="Times New Roman"/>
          <w:bCs/>
          <w:sz w:val="22"/>
          <w:szCs w:val="22"/>
          <w:lang w:val="en-US" w:bidi="en-US"/>
        </w:rPr>
      </w:pPr>
      <w:r w:rsidRPr="0071012F">
        <w:rPr>
          <w:rFonts w:ascii="Cambria" w:eastAsia="Times New Roman" w:hAnsi="Cambria" w:cs="Arial"/>
          <w:b/>
          <w:bCs/>
          <w:sz w:val="22"/>
          <w:szCs w:val="22"/>
          <w:lang w:val="en-MY" w:eastAsia="en-MY" w:bidi="en-US"/>
        </w:rPr>
        <w:t>3.1</w:t>
      </w:r>
      <w:r>
        <w:rPr>
          <w:rFonts w:ascii="Cambria" w:eastAsia="Times New Roman" w:hAnsi="Cambria" w:cs="Arial"/>
          <w:sz w:val="22"/>
          <w:szCs w:val="22"/>
          <w:lang w:val="en-MY" w:eastAsia="en-MY" w:bidi="en-US"/>
        </w:rPr>
        <w:t xml:space="preserve"> </w:t>
      </w:r>
      <w:r>
        <w:rPr>
          <w:rFonts w:ascii="Cambria" w:eastAsia="Times New Roman" w:hAnsi="Cambria" w:cs="Arial"/>
          <w:sz w:val="22"/>
          <w:szCs w:val="22"/>
          <w:lang w:val="en-MY" w:eastAsia="en-MY" w:bidi="en-US"/>
        </w:rPr>
        <w:tab/>
      </w:r>
      <w:r w:rsidR="00A8223D" w:rsidRPr="007920FF">
        <w:rPr>
          <w:rFonts w:ascii="Cambria" w:eastAsia="SimSun" w:hAnsi="Cambria" w:cs="Times New Roman"/>
          <w:b/>
          <w:bCs/>
          <w:sz w:val="22"/>
          <w:szCs w:val="22"/>
          <w:lang w:val="en-US" w:bidi="en-US"/>
        </w:rPr>
        <w:t xml:space="preserve">Model and Data </w:t>
      </w:r>
    </w:p>
    <w:p w14:paraId="107C9E83" w14:textId="77777777" w:rsidR="0071012F" w:rsidRDefault="00A8223D" w:rsidP="0071012F">
      <w:pPr>
        <w:keepNext/>
        <w:keepLines/>
        <w:jc w:val="both"/>
        <w:outlineLvl w:val="1"/>
        <w:rPr>
          <w:rFonts w:ascii="Cambria" w:eastAsia="SimSun" w:hAnsi="Cambria" w:cs="Times New Roman"/>
          <w:bCs/>
          <w:sz w:val="22"/>
          <w:szCs w:val="22"/>
          <w:lang w:val="en-US" w:bidi="en-US"/>
        </w:rPr>
      </w:pPr>
      <w:r w:rsidRPr="00482288">
        <w:rPr>
          <w:rFonts w:ascii="Cambria" w:eastAsia="Times New Roman" w:hAnsi="Cambria" w:cs="Times New Roman"/>
          <w:sz w:val="22"/>
          <w:szCs w:val="22"/>
          <w:lang w:bidi="en-US"/>
        </w:rPr>
        <w:lastRenderedPageBreak/>
        <w:t xml:space="preserve">The analytical model used in this study is based on a multi-dimensional framework that combines the technological, pedagogical, and ethical-human dimensions of AI integration in higher education. The model provides a conceptual lens through which the opportunities and challenges of AI adoption can be systematically </w:t>
      </w:r>
      <w:proofErr w:type="spellStart"/>
      <w:r w:rsidRPr="00482288">
        <w:rPr>
          <w:rFonts w:ascii="Cambria" w:eastAsia="Times New Roman" w:hAnsi="Cambria" w:cs="Times New Roman"/>
          <w:sz w:val="22"/>
          <w:szCs w:val="22"/>
          <w:lang w:bidi="en-US"/>
        </w:rPr>
        <w:t>analyzed</w:t>
      </w:r>
      <w:proofErr w:type="spellEnd"/>
      <w:r w:rsidRPr="00482288">
        <w:rPr>
          <w:rFonts w:ascii="Cambria" w:eastAsia="Times New Roman" w:hAnsi="Cambria" w:cs="Times New Roman"/>
          <w:sz w:val="22"/>
          <w:szCs w:val="22"/>
          <w:lang w:bidi="en-US"/>
        </w:rPr>
        <w:t>.</w:t>
      </w:r>
    </w:p>
    <w:p w14:paraId="1763076B" w14:textId="77777777" w:rsidR="0071012F" w:rsidRDefault="0071012F" w:rsidP="0071012F">
      <w:pPr>
        <w:keepNext/>
        <w:keepLines/>
        <w:jc w:val="both"/>
        <w:outlineLvl w:val="1"/>
        <w:rPr>
          <w:rFonts w:ascii="Cambria" w:eastAsia="SimSun" w:hAnsi="Cambria" w:cs="Times New Roman"/>
          <w:bCs/>
          <w:sz w:val="22"/>
          <w:szCs w:val="22"/>
          <w:lang w:val="en-US" w:bidi="en-US"/>
        </w:rPr>
      </w:pPr>
    </w:p>
    <w:p w14:paraId="55538343" w14:textId="77777777" w:rsidR="0071012F" w:rsidRDefault="00A8223D" w:rsidP="0071012F">
      <w:pPr>
        <w:keepNext/>
        <w:keepLines/>
        <w:jc w:val="both"/>
        <w:outlineLvl w:val="1"/>
        <w:rPr>
          <w:rFonts w:ascii="Cambria" w:eastAsia="SimSun" w:hAnsi="Cambria" w:cs="Times New Roman"/>
          <w:bCs/>
          <w:sz w:val="22"/>
          <w:szCs w:val="22"/>
          <w:lang w:val="en-US" w:bidi="en-US"/>
        </w:rPr>
      </w:pPr>
      <w:r w:rsidRPr="00A8223D">
        <w:rPr>
          <w:rFonts w:ascii="Cambria" w:eastAsia="Times New Roman" w:hAnsi="Cambria" w:cs="Times New Roman"/>
          <w:sz w:val="22"/>
          <w:szCs w:val="22"/>
          <w:lang w:bidi="en-US"/>
        </w:rPr>
        <w:t>Technological Layer – This dimension focuses on AI-driven tools and systems that influence instructional delivery, data management, and assessment automation. Examples include adaptive learning systems, intelligent tutoring systems, generative AI applications (ChatGPT, DALL·E), and institutional analytics dashboards. Data within this layer are extracted from empirical studies that measure engagement rates, learning outcomes, and efficiency gains.</w:t>
      </w:r>
    </w:p>
    <w:p w14:paraId="3E42C5D4" w14:textId="77777777" w:rsidR="0071012F" w:rsidRDefault="0071012F" w:rsidP="0071012F">
      <w:pPr>
        <w:keepNext/>
        <w:keepLines/>
        <w:jc w:val="both"/>
        <w:outlineLvl w:val="1"/>
        <w:rPr>
          <w:rFonts w:ascii="Cambria" w:eastAsia="SimSun" w:hAnsi="Cambria" w:cs="Times New Roman"/>
          <w:bCs/>
          <w:sz w:val="22"/>
          <w:szCs w:val="22"/>
          <w:lang w:val="en-US" w:bidi="en-US"/>
        </w:rPr>
      </w:pPr>
    </w:p>
    <w:p w14:paraId="40AA442A" w14:textId="77777777" w:rsidR="0071012F" w:rsidRDefault="00A8223D" w:rsidP="0071012F">
      <w:pPr>
        <w:keepNext/>
        <w:keepLines/>
        <w:jc w:val="both"/>
        <w:outlineLvl w:val="1"/>
        <w:rPr>
          <w:rFonts w:ascii="Cambria" w:eastAsia="SimSun" w:hAnsi="Cambria" w:cs="Times New Roman"/>
          <w:bCs/>
          <w:sz w:val="22"/>
          <w:szCs w:val="22"/>
          <w:lang w:val="en-US" w:bidi="en-US"/>
        </w:rPr>
      </w:pPr>
      <w:r w:rsidRPr="00A8223D">
        <w:rPr>
          <w:rFonts w:ascii="Cambria" w:eastAsia="Times New Roman" w:hAnsi="Cambria" w:cs="Times New Roman"/>
          <w:sz w:val="22"/>
          <w:szCs w:val="22"/>
          <w:lang w:bidi="en-US"/>
        </w:rPr>
        <w:t>Pedagogical Layer – This layer examines the impact of AI on teaching design and learner interaction. It captures data related to adaptive feedback, constructivist learning engagement, creativity enhancement, and critical thinking. Articles were coded for pedagogical outcomes using NVivo 14 to detect thematic trends across studies. The analysis tracked how AI tools influenced motivation, metacognitive awareness, and assessment redesign.</w:t>
      </w:r>
    </w:p>
    <w:p w14:paraId="7D389354" w14:textId="77777777" w:rsidR="0071012F" w:rsidRDefault="0071012F" w:rsidP="0071012F">
      <w:pPr>
        <w:keepNext/>
        <w:keepLines/>
        <w:jc w:val="both"/>
        <w:outlineLvl w:val="1"/>
        <w:rPr>
          <w:rFonts w:ascii="Cambria" w:eastAsia="SimSun" w:hAnsi="Cambria" w:cs="Times New Roman"/>
          <w:bCs/>
          <w:sz w:val="22"/>
          <w:szCs w:val="22"/>
          <w:lang w:val="en-US" w:bidi="en-US"/>
        </w:rPr>
      </w:pPr>
    </w:p>
    <w:p w14:paraId="5C8A255C" w14:textId="77777777" w:rsidR="0071012F" w:rsidRDefault="00A8223D" w:rsidP="0071012F">
      <w:pPr>
        <w:keepNext/>
        <w:keepLines/>
        <w:jc w:val="both"/>
        <w:outlineLvl w:val="1"/>
        <w:rPr>
          <w:rFonts w:ascii="Cambria" w:eastAsia="SimSun" w:hAnsi="Cambria" w:cs="Times New Roman"/>
          <w:bCs/>
          <w:sz w:val="22"/>
          <w:szCs w:val="22"/>
          <w:lang w:val="en-US" w:bidi="en-US"/>
        </w:rPr>
      </w:pPr>
      <w:r w:rsidRPr="00A8223D">
        <w:rPr>
          <w:rFonts w:ascii="Cambria" w:eastAsia="Times New Roman" w:hAnsi="Cambria" w:cs="Times New Roman"/>
          <w:sz w:val="22"/>
          <w:szCs w:val="22"/>
          <w:lang w:bidi="en-US"/>
        </w:rPr>
        <w:t>Ethical-Human Layer – This layer encompasses issues of algorithmic bias, data privacy, digital equity, and faculty readiness. It integrates institutional reports and policy documents to assess governance readiness and ethical alignment. Sources from UNESCO (2023) and Malaysian higher education case studies were included to contextualize challenges in developing countries.</w:t>
      </w:r>
    </w:p>
    <w:p w14:paraId="291CFBBF" w14:textId="77777777" w:rsidR="0071012F" w:rsidRDefault="0071012F" w:rsidP="0071012F">
      <w:pPr>
        <w:keepNext/>
        <w:keepLines/>
        <w:jc w:val="both"/>
        <w:outlineLvl w:val="1"/>
        <w:rPr>
          <w:rFonts w:ascii="Cambria" w:eastAsia="SimSun" w:hAnsi="Cambria" w:cs="Times New Roman"/>
          <w:bCs/>
          <w:sz w:val="22"/>
          <w:szCs w:val="22"/>
          <w:lang w:val="en-US" w:bidi="en-US"/>
        </w:rPr>
      </w:pPr>
    </w:p>
    <w:p w14:paraId="424F37E3" w14:textId="77777777" w:rsidR="0071012F" w:rsidRDefault="00A8223D" w:rsidP="0071012F">
      <w:pPr>
        <w:keepNext/>
        <w:keepLines/>
        <w:jc w:val="both"/>
        <w:outlineLvl w:val="1"/>
        <w:rPr>
          <w:rFonts w:ascii="Cambria" w:eastAsia="SimSun" w:hAnsi="Cambria" w:cs="Times New Roman"/>
          <w:bCs/>
          <w:sz w:val="22"/>
          <w:szCs w:val="22"/>
          <w:lang w:val="en-US" w:bidi="en-US"/>
        </w:rPr>
      </w:pPr>
      <w:r w:rsidRPr="00A8223D">
        <w:rPr>
          <w:rFonts w:ascii="Cambria" w:eastAsia="Times New Roman" w:hAnsi="Cambria" w:cs="Times New Roman"/>
          <w:sz w:val="22"/>
          <w:szCs w:val="22"/>
          <w:lang w:bidi="en-US"/>
        </w:rPr>
        <w:t>The model was applied to data drawn from 70 peer-reviewed articles published between 2019 and 2025. Searches were conducted across Scopus, Web of Science, ERIC, ScienceDirect, SpringerLink, and Google Scholar. Keywords included combinations of: “Artificial Intelligence in higher education,” “adaptive learning,” “AI pedagogy,” “generative AI,” “AI ethics,” and “AI in Malaysia.” Boolean operators (AND/OR) were used to refine searches.</w:t>
      </w:r>
    </w:p>
    <w:p w14:paraId="033CA9E5" w14:textId="77777777" w:rsidR="0071012F" w:rsidRDefault="0071012F" w:rsidP="0071012F">
      <w:pPr>
        <w:keepNext/>
        <w:keepLines/>
        <w:jc w:val="both"/>
        <w:outlineLvl w:val="1"/>
        <w:rPr>
          <w:rFonts w:ascii="Cambria" w:eastAsia="SimSun" w:hAnsi="Cambria" w:cs="Times New Roman"/>
          <w:bCs/>
          <w:sz w:val="22"/>
          <w:szCs w:val="22"/>
          <w:lang w:val="en-US" w:bidi="en-US"/>
        </w:rPr>
      </w:pPr>
    </w:p>
    <w:p w14:paraId="414DC16D" w14:textId="77777777" w:rsidR="006D5C2C" w:rsidRDefault="00A8223D" w:rsidP="006D5C2C">
      <w:pPr>
        <w:keepNext/>
        <w:keepLines/>
        <w:jc w:val="both"/>
        <w:outlineLvl w:val="1"/>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t xml:space="preserve">After removing duplicates, 250 studies remained for title and abstract screening. From these, 110 underwent full-text review, and 70 were included in the final synthesis. Data extraction was guided by a coding protocol focusing on study design, AI tool type, pedagogical domain, outcome measures, and regional context. Quantitative data (e.g., effect sizes, engagement rates) were summarized descriptively, while qualitative data were </w:t>
      </w:r>
      <w:proofErr w:type="spellStart"/>
      <w:r w:rsidRPr="00A8223D">
        <w:rPr>
          <w:rFonts w:ascii="Cambria" w:eastAsia="Times New Roman" w:hAnsi="Cambria" w:cs="Times New Roman"/>
          <w:sz w:val="22"/>
          <w:szCs w:val="22"/>
          <w:lang w:bidi="en-US"/>
        </w:rPr>
        <w:t>analyzed</w:t>
      </w:r>
      <w:proofErr w:type="spellEnd"/>
      <w:r w:rsidRPr="00A8223D">
        <w:rPr>
          <w:rFonts w:ascii="Cambria" w:eastAsia="Times New Roman" w:hAnsi="Cambria" w:cs="Times New Roman"/>
          <w:sz w:val="22"/>
          <w:szCs w:val="22"/>
          <w:lang w:bidi="en-US"/>
        </w:rPr>
        <w:t xml:space="preserve"> thematically.</w:t>
      </w:r>
    </w:p>
    <w:p w14:paraId="76B3F0ED" w14:textId="77777777" w:rsidR="006D5C2C" w:rsidRDefault="006D5C2C" w:rsidP="006D5C2C">
      <w:pPr>
        <w:keepNext/>
        <w:keepLines/>
        <w:jc w:val="both"/>
        <w:outlineLvl w:val="1"/>
        <w:rPr>
          <w:rFonts w:ascii="Cambria" w:eastAsia="Times New Roman" w:hAnsi="Cambria" w:cs="Times New Roman"/>
          <w:sz w:val="22"/>
          <w:szCs w:val="22"/>
          <w:lang w:bidi="en-US"/>
        </w:rPr>
      </w:pPr>
    </w:p>
    <w:p w14:paraId="6A51BFE9" w14:textId="5D3C48AD" w:rsidR="006D5C2C" w:rsidRPr="006D5C2C" w:rsidRDefault="00A8223D" w:rsidP="006D5C2C">
      <w:pPr>
        <w:pStyle w:val="ListParagraph"/>
        <w:keepNext/>
        <w:keepLines/>
        <w:numPr>
          <w:ilvl w:val="2"/>
          <w:numId w:val="2"/>
        </w:numPr>
        <w:jc w:val="both"/>
        <w:outlineLvl w:val="1"/>
        <w:rPr>
          <w:rFonts w:ascii="Cambria" w:eastAsia="Times New Roman" w:hAnsi="Cambria" w:cs="Times New Roman"/>
          <w:sz w:val="22"/>
          <w:szCs w:val="22"/>
          <w:lang w:bidi="en-US"/>
        </w:rPr>
      </w:pPr>
      <w:r w:rsidRPr="006D5C2C">
        <w:rPr>
          <w:rFonts w:ascii="Cambria" w:eastAsia="Times New Roman" w:hAnsi="Cambria" w:cs="Times New Roman"/>
          <w:b/>
          <w:bCs/>
          <w:sz w:val="22"/>
          <w:szCs w:val="22"/>
          <w:lang w:bidi="en-US"/>
        </w:rPr>
        <w:t>Data Categorization and Analysis</w:t>
      </w:r>
    </w:p>
    <w:p w14:paraId="399D22FE" w14:textId="77777777" w:rsidR="006D5C2C" w:rsidRDefault="006D5C2C" w:rsidP="006D5C2C">
      <w:pPr>
        <w:keepNext/>
        <w:keepLines/>
        <w:jc w:val="both"/>
        <w:outlineLvl w:val="1"/>
        <w:rPr>
          <w:rFonts w:ascii="Cambria" w:eastAsia="Times New Roman" w:hAnsi="Cambria" w:cs="Times New Roman"/>
          <w:sz w:val="22"/>
          <w:szCs w:val="22"/>
          <w:lang w:bidi="en-US"/>
        </w:rPr>
      </w:pPr>
    </w:p>
    <w:p w14:paraId="28338C69" w14:textId="77777777" w:rsidR="006D5C2C" w:rsidRDefault="00A8223D" w:rsidP="006D5C2C">
      <w:pPr>
        <w:keepNext/>
        <w:keepLines/>
        <w:jc w:val="both"/>
        <w:outlineLvl w:val="1"/>
        <w:rPr>
          <w:rFonts w:ascii="Cambria" w:eastAsia="Times New Roman" w:hAnsi="Cambria" w:cs="Times New Roman"/>
          <w:sz w:val="22"/>
          <w:szCs w:val="22"/>
          <w:lang w:bidi="en-US"/>
        </w:rPr>
      </w:pPr>
      <w:r w:rsidRPr="006D5C2C">
        <w:rPr>
          <w:rFonts w:ascii="Cambria" w:eastAsia="Times New Roman" w:hAnsi="Cambria" w:cs="Times New Roman"/>
          <w:sz w:val="22"/>
          <w:szCs w:val="22"/>
          <w:lang w:bidi="en-US"/>
        </w:rPr>
        <w:t>To ensure comparability across diverse methodologies, all data were categorized under four meta-themes:</w:t>
      </w:r>
    </w:p>
    <w:p w14:paraId="431D9E06" w14:textId="77777777" w:rsidR="006D5C2C" w:rsidRDefault="006D5C2C" w:rsidP="006D5C2C">
      <w:pPr>
        <w:keepNext/>
        <w:keepLines/>
        <w:jc w:val="both"/>
        <w:outlineLvl w:val="1"/>
        <w:rPr>
          <w:rFonts w:ascii="Cambria" w:eastAsia="Times New Roman" w:hAnsi="Cambria" w:cs="Times New Roman"/>
          <w:sz w:val="22"/>
          <w:szCs w:val="22"/>
          <w:lang w:bidi="en-US"/>
        </w:rPr>
      </w:pPr>
    </w:p>
    <w:p w14:paraId="1D6788A6" w14:textId="77777777" w:rsidR="006D5C2C" w:rsidRDefault="00A8223D" w:rsidP="006D5C2C">
      <w:pPr>
        <w:keepNext/>
        <w:keepLines/>
        <w:jc w:val="both"/>
        <w:outlineLvl w:val="1"/>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t>Personalization and Adaptive Learning – metrics such as retention rate, learner satisfaction, and adaptive feedback frequency.</w:t>
      </w:r>
    </w:p>
    <w:p w14:paraId="0C741561" w14:textId="77777777" w:rsidR="006D5C2C" w:rsidRDefault="006D5C2C" w:rsidP="006D5C2C">
      <w:pPr>
        <w:keepNext/>
        <w:keepLines/>
        <w:jc w:val="both"/>
        <w:outlineLvl w:val="1"/>
        <w:rPr>
          <w:rFonts w:ascii="Cambria" w:eastAsia="Times New Roman" w:hAnsi="Cambria" w:cs="Times New Roman"/>
          <w:sz w:val="22"/>
          <w:szCs w:val="22"/>
          <w:lang w:bidi="en-US"/>
        </w:rPr>
      </w:pPr>
    </w:p>
    <w:p w14:paraId="0677C9B8" w14:textId="77777777" w:rsidR="006D5C2C" w:rsidRDefault="00A8223D" w:rsidP="006D5C2C">
      <w:pPr>
        <w:keepNext/>
        <w:keepLines/>
        <w:jc w:val="both"/>
        <w:outlineLvl w:val="1"/>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t>Efficiency and Automation – data on faculty workload reduction, grading time, and system response accuracy.</w:t>
      </w:r>
    </w:p>
    <w:p w14:paraId="6F146900" w14:textId="77777777" w:rsidR="006D5C2C" w:rsidRDefault="006D5C2C" w:rsidP="006D5C2C">
      <w:pPr>
        <w:keepNext/>
        <w:keepLines/>
        <w:jc w:val="both"/>
        <w:outlineLvl w:val="1"/>
        <w:rPr>
          <w:rFonts w:ascii="Cambria" w:eastAsia="Times New Roman" w:hAnsi="Cambria" w:cs="Times New Roman"/>
          <w:sz w:val="22"/>
          <w:szCs w:val="22"/>
          <w:lang w:bidi="en-US"/>
        </w:rPr>
      </w:pPr>
    </w:p>
    <w:p w14:paraId="4193A1DE" w14:textId="77777777" w:rsidR="006D5C2C" w:rsidRDefault="00A8223D" w:rsidP="006D5C2C">
      <w:pPr>
        <w:keepNext/>
        <w:keepLines/>
        <w:jc w:val="both"/>
        <w:outlineLvl w:val="1"/>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t>Innovation and Creativity – the number of AI-supported tasks is improving originality and project-based learning outcomes.</w:t>
      </w:r>
    </w:p>
    <w:p w14:paraId="6BF5A945" w14:textId="77777777" w:rsidR="006D5C2C" w:rsidRDefault="006D5C2C" w:rsidP="006D5C2C">
      <w:pPr>
        <w:keepNext/>
        <w:keepLines/>
        <w:jc w:val="both"/>
        <w:outlineLvl w:val="1"/>
        <w:rPr>
          <w:rFonts w:ascii="Cambria" w:eastAsia="Times New Roman" w:hAnsi="Cambria" w:cs="Times New Roman"/>
          <w:sz w:val="22"/>
          <w:szCs w:val="22"/>
          <w:lang w:bidi="en-US"/>
        </w:rPr>
      </w:pPr>
    </w:p>
    <w:p w14:paraId="5C42FA56" w14:textId="57B593D8" w:rsidR="009B5512" w:rsidRDefault="00A8223D" w:rsidP="006D5C2C">
      <w:pPr>
        <w:keepNext/>
        <w:keepLines/>
        <w:jc w:val="both"/>
        <w:outlineLvl w:val="1"/>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t>Ethics and Readiness – occurrence of ethical guidelines, training initiatives, and governance structures.</w:t>
      </w:r>
    </w:p>
    <w:p w14:paraId="13A78F64" w14:textId="2E1E522B" w:rsidR="00A8223D" w:rsidRPr="00A8223D" w:rsidRDefault="00A8223D" w:rsidP="009B5512">
      <w:pPr>
        <w:keepNext/>
        <w:keepLines/>
        <w:spacing w:before="200"/>
        <w:jc w:val="both"/>
        <w:outlineLvl w:val="2"/>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lastRenderedPageBreak/>
        <w:t>Descriptive statistics were computed to identify the prevalence of each meta-theme. A correlation analysis was conducted to explore associations between AI tool type and reported pedagogical impact. For instance, adaptive learning tools correlated strongly with engagement (r = 0.82), while generative AI correlated with creativity (r = 0.76). These patterns informed the development of the final conceptual framework (Table 1), which illustrates how technology, pedagogy, and human-</w:t>
      </w:r>
      <w:proofErr w:type="spellStart"/>
      <w:r w:rsidRPr="00A8223D">
        <w:rPr>
          <w:rFonts w:ascii="Cambria" w:eastAsia="Times New Roman" w:hAnsi="Cambria" w:cs="Times New Roman"/>
          <w:sz w:val="22"/>
          <w:szCs w:val="22"/>
          <w:lang w:bidi="en-US"/>
        </w:rPr>
        <w:t>centered</w:t>
      </w:r>
      <w:proofErr w:type="spellEnd"/>
      <w:r w:rsidRPr="00A8223D">
        <w:rPr>
          <w:rFonts w:ascii="Cambria" w:eastAsia="Times New Roman" w:hAnsi="Cambria" w:cs="Times New Roman"/>
          <w:sz w:val="22"/>
          <w:szCs w:val="22"/>
          <w:lang w:bidi="en-US"/>
        </w:rPr>
        <w:t xml:space="preserve"> ethics interact to produce balanced AI integration in higher education.</w:t>
      </w:r>
    </w:p>
    <w:p w14:paraId="1E34A6DA" w14:textId="77777777" w:rsidR="00A8223D" w:rsidRPr="00A8223D" w:rsidRDefault="00A8223D" w:rsidP="00A8223D">
      <w:pPr>
        <w:keepNext/>
        <w:keepLines/>
        <w:jc w:val="both"/>
        <w:outlineLvl w:val="2"/>
        <w:rPr>
          <w:rFonts w:ascii="Cambria" w:eastAsia="Times New Roman" w:hAnsi="Cambria" w:cs="Times New Roman"/>
          <w:sz w:val="22"/>
          <w:szCs w:val="22"/>
          <w:lang w:bidi="en-US"/>
        </w:rPr>
      </w:pPr>
    </w:p>
    <w:tbl>
      <w:tblPr>
        <w:tblStyle w:val="PlainTable21"/>
        <w:tblW w:w="0" w:type="auto"/>
        <w:tblLook w:val="04A0" w:firstRow="1" w:lastRow="0" w:firstColumn="1" w:lastColumn="0" w:noHBand="0" w:noVBand="1"/>
      </w:tblPr>
      <w:tblGrid>
        <w:gridCol w:w="1539"/>
        <w:gridCol w:w="1389"/>
        <w:gridCol w:w="1079"/>
        <w:gridCol w:w="1031"/>
        <w:gridCol w:w="1239"/>
        <w:gridCol w:w="1271"/>
        <w:gridCol w:w="1472"/>
      </w:tblGrid>
      <w:tr w:rsidR="00A8223D" w:rsidRPr="00A8223D" w14:paraId="05B97111" w14:textId="77777777" w:rsidTr="00B74D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64F1C386" w14:textId="77777777" w:rsidR="00A8223D" w:rsidRPr="00A8223D" w:rsidRDefault="00A8223D" w:rsidP="00A8223D">
            <w:pPr>
              <w:jc w:val="both"/>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Meta-Theme</w:t>
            </w:r>
          </w:p>
        </w:tc>
        <w:tc>
          <w:tcPr>
            <w:tcW w:w="1288" w:type="dxa"/>
          </w:tcPr>
          <w:p w14:paraId="29E6CCB7" w14:textId="77777777" w:rsidR="00A8223D" w:rsidRPr="00A8223D" w:rsidRDefault="00A8223D" w:rsidP="00A8223D">
            <w:pPr>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Indicators / Measures</w:t>
            </w:r>
          </w:p>
        </w:tc>
        <w:tc>
          <w:tcPr>
            <w:tcW w:w="1288" w:type="dxa"/>
          </w:tcPr>
          <w:p w14:paraId="16484493" w14:textId="77777777" w:rsidR="00A8223D" w:rsidRPr="00A8223D" w:rsidRDefault="00A8223D" w:rsidP="00A8223D">
            <w:pPr>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Mean (%)</w:t>
            </w:r>
          </w:p>
        </w:tc>
        <w:tc>
          <w:tcPr>
            <w:tcW w:w="1288" w:type="dxa"/>
          </w:tcPr>
          <w:p w14:paraId="6D7B88CD" w14:textId="77777777" w:rsidR="00A8223D" w:rsidRPr="00A8223D" w:rsidRDefault="00A8223D" w:rsidP="00A8223D">
            <w:pPr>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SD</w:t>
            </w:r>
          </w:p>
        </w:tc>
        <w:tc>
          <w:tcPr>
            <w:tcW w:w="1288" w:type="dxa"/>
          </w:tcPr>
          <w:p w14:paraId="373C12AA" w14:textId="77777777" w:rsidR="00A8223D" w:rsidRPr="00A8223D" w:rsidRDefault="00A8223D" w:rsidP="00A8223D">
            <w:pPr>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Prevalence (Studies Reporting)</w:t>
            </w:r>
          </w:p>
        </w:tc>
        <w:tc>
          <w:tcPr>
            <w:tcW w:w="1288" w:type="dxa"/>
          </w:tcPr>
          <w:p w14:paraId="16A4D6B5" w14:textId="77777777" w:rsidR="00A8223D" w:rsidRPr="00A8223D" w:rsidRDefault="00A8223D" w:rsidP="00A8223D">
            <w:pPr>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Correlation with Pedagogical Impact (r)</w:t>
            </w:r>
          </w:p>
        </w:tc>
        <w:tc>
          <w:tcPr>
            <w:tcW w:w="1288" w:type="dxa"/>
          </w:tcPr>
          <w:p w14:paraId="4CCD9427" w14:textId="77777777" w:rsidR="00A8223D" w:rsidRPr="00A8223D" w:rsidRDefault="00A8223D" w:rsidP="00A8223D">
            <w:pPr>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Interpretation</w:t>
            </w:r>
          </w:p>
        </w:tc>
      </w:tr>
      <w:tr w:rsidR="00A8223D" w:rsidRPr="00A8223D" w14:paraId="7FFE6D06" w14:textId="77777777" w:rsidTr="00B74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363344EF" w14:textId="77777777" w:rsidR="00A8223D" w:rsidRPr="00A8223D" w:rsidRDefault="00A8223D" w:rsidP="00A8223D">
            <w:pPr>
              <w:jc w:val="both"/>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Personalization and Adaptive Learning</w:t>
            </w:r>
          </w:p>
        </w:tc>
        <w:tc>
          <w:tcPr>
            <w:tcW w:w="1288" w:type="dxa"/>
          </w:tcPr>
          <w:p w14:paraId="67E861A9"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Student engagement rate, retention improvement, and adaptive feedback frequency</w:t>
            </w:r>
          </w:p>
        </w:tc>
        <w:tc>
          <w:tcPr>
            <w:tcW w:w="1288" w:type="dxa"/>
          </w:tcPr>
          <w:p w14:paraId="58F76C41"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78.6</w:t>
            </w:r>
          </w:p>
        </w:tc>
        <w:tc>
          <w:tcPr>
            <w:tcW w:w="1288" w:type="dxa"/>
          </w:tcPr>
          <w:p w14:paraId="2700EDFB"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6.4</w:t>
            </w:r>
          </w:p>
        </w:tc>
        <w:tc>
          <w:tcPr>
            <w:tcW w:w="1288" w:type="dxa"/>
          </w:tcPr>
          <w:p w14:paraId="69B66D07"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61/70 (87%)</w:t>
            </w:r>
          </w:p>
        </w:tc>
        <w:tc>
          <w:tcPr>
            <w:tcW w:w="1288" w:type="dxa"/>
          </w:tcPr>
          <w:p w14:paraId="1681A440"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0.82</w:t>
            </w:r>
          </w:p>
        </w:tc>
        <w:tc>
          <w:tcPr>
            <w:tcW w:w="1288" w:type="dxa"/>
          </w:tcPr>
          <w:p w14:paraId="0686E4A6"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Strong positive correlation between adaptive AI systems and learner engagement. Indicates the effectiveness of AI personalization in improving motivation and retention.</w:t>
            </w:r>
          </w:p>
        </w:tc>
      </w:tr>
      <w:tr w:rsidR="00A8223D" w:rsidRPr="00A8223D" w14:paraId="0A899F0F" w14:textId="77777777" w:rsidTr="00B74DA5">
        <w:tc>
          <w:tcPr>
            <w:cnfStyle w:val="001000000000" w:firstRow="0" w:lastRow="0" w:firstColumn="1" w:lastColumn="0" w:oddVBand="0" w:evenVBand="0" w:oddHBand="0" w:evenHBand="0" w:firstRowFirstColumn="0" w:firstRowLastColumn="0" w:lastRowFirstColumn="0" w:lastRowLastColumn="0"/>
            <w:tcW w:w="1288" w:type="dxa"/>
          </w:tcPr>
          <w:p w14:paraId="5EA96C46" w14:textId="77777777" w:rsidR="00A8223D" w:rsidRPr="00A8223D" w:rsidRDefault="00A8223D" w:rsidP="00A8223D">
            <w:pPr>
              <w:jc w:val="both"/>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Efficiency and Automation</w:t>
            </w:r>
          </w:p>
        </w:tc>
        <w:tc>
          <w:tcPr>
            <w:tcW w:w="1288" w:type="dxa"/>
          </w:tcPr>
          <w:p w14:paraId="24ABA541"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Faculty workload reduction, automated grading accuracy, time savings (%)</w:t>
            </w:r>
          </w:p>
        </w:tc>
        <w:tc>
          <w:tcPr>
            <w:tcW w:w="1288" w:type="dxa"/>
          </w:tcPr>
          <w:p w14:paraId="67EF70B3"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63.4</w:t>
            </w:r>
          </w:p>
        </w:tc>
        <w:tc>
          <w:tcPr>
            <w:tcW w:w="1288" w:type="dxa"/>
          </w:tcPr>
          <w:p w14:paraId="67C364CF"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8.7</w:t>
            </w:r>
          </w:p>
        </w:tc>
        <w:tc>
          <w:tcPr>
            <w:tcW w:w="1288" w:type="dxa"/>
          </w:tcPr>
          <w:p w14:paraId="4DFF349C"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52/70 (74%)</w:t>
            </w:r>
          </w:p>
        </w:tc>
        <w:tc>
          <w:tcPr>
            <w:tcW w:w="1288" w:type="dxa"/>
          </w:tcPr>
          <w:p w14:paraId="52923597"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0.79</w:t>
            </w:r>
          </w:p>
        </w:tc>
        <w:tc>
          <w:tcPr>
            <w:tcW w:w="1288" w:type="dxa"/>
          </w:tcPr>
          <w:p w14:paraId="4E1EB16E"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High correlation suggests AI automation significantly reduces repetitive academic tasks and enhances teaching efficiency.</w:t>
            </w:r>
          </w:p>
        </w:tc>
      </w:tr>
      <w:tr w:rsidR="00A8223D" w:rsidRPr="00A8223D" w14:paraId="5A173D9B" w14:textId="77777777" w:rsidTr="00B74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5CA7AA9C" w14:textId="77777777" w:rsidR="00A8223D" w:rsidRPr="00A8223D" w:rsidRDefault="00A8223D" w:rsidP="00A8223D">
            <w:pPr>
              <w:jc w:val="both"/>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Innovation and Creativity</w:t>
            </w:r>
          </w:p>
        </w:tc>
        <w:tc>
          <w:tcPr>
            <w:tcW w:w="1288" w:type="dxa"/>
          </w:tcPr>
          <w:p w14:paraId="27490A4D"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AI-supported brainstorming, project-based learning innovation, and originality scores</w:t>
            </w:r>
          </w:p>
        </w:tc>
        <w:tc>
          <w:tcPr>
            <w:tcW w:w="1288" w:type="dxa"/>
          </w:tcPr>
          <w:p w14:paraId="381CE777"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71.2</w:t>
            </w:r>
          </w:p>
        </w:tc>
        <w:tc>
          <w:tcPr>
            <w:tcW w:w="1288" w:type="dxa"/>
          </w:tcPr>
          <w:p w14:paraId="47E8A29C"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7.1</w:t>
            </w:r>
          </w:p>
        </w:tc>
        <w:tc>
          <w:tcPr>
            <w:tcW w:w="1288" w:type="dxa"/>
          </w:tcPr>
          <w:p w14:paraId="42B32778"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49/70 (70%)</w:t>
            </w:r>
          </w:p>
        </w:tc>
        <w:tc>
          <w:tcPr>
            <w:tcW w:w="1288" w:type="dxa"/>
          </w:tcPr>
          <w:p w14:paraId="6DFDF68A"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0.76</w:t>
            </w:r>
          </w:p>
        </w:tc>
        <w:tc>
          <w:tcPr>
            <w:tcW w:w="1288" w:type="dxa"/>
          </w:tcPr>
          <w:p w14:paraId="42E80511"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Positive association showing that generative AI fosters creativity, reflective thinking, and experimental learning.</w:t>
            </w:r>
          </w:p>
        </w:tc>
      </w:tr>
      <w:tr w:rsidR="00A8223D" w:rsidRPr="00A8223D" w14:paraId="2962BC27" w14:textId="77777777" w:rsidTr="00B74DA5">
        <w:tc>
          <w:tcPr>
            <w:cnfStyle w:val="001000000000" w:firstRow="0" w:lastRow="0" w:firstColumn="1" w:lastColumn="0" w:oddVBand="0" w:evenVBand="0" w:oddHBand="0" w:evenHBand="0" w:firstRowFirstColumn="0" w:firstRowLastColumn="0" w:lastRowFirstColumn="0" w:lastRowLastColumn="0"/>
            <w:tcW w:w="1288" w:type="dxa"/>
          </w:tcPr>
          <w:p w14:paraId="48A35ABE" w14:textId="77777777" w:rsidR="00A8223D" w:rsidRPr="00A8223D" w:rsidRDefault="00A8223D" w:rsidP="00A8223D">
            <w:pPr>
              <w:jc w:val="both"/>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Ethics and Readiness</w:t>
            </w:r>
          </w:p>
        </w:tc>
        <w:tc>
          <w:tcPr>
            <w:tcW w:w="1288" w:type="dxa"/>
          </w:tcPr>
          <w:p w14:paraId="3DDD1965"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Presence of ethical policy, training availability, governance frameworks, and bias mitigation</w:t>
            </w:r>
          </w:p>
        </w:tc>
        <w:tc>
          <w:tcPr>
            <w:tcW w:w="1288" w:type="dxa"/>
          </w:tcPr>
          <w:p w14:paraId="66240085"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54.3</w:t>
            </w:r>
          </w:p>
        </w:tc>
        <w:tc>
          <w:tcPr>
            <w:tcW w:w="1288" w:type="dxa"/>
          </w:tcPr>
          <w:p w14:paraId="0E34DD70"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9.5</w:t>
            </w:r>
          </w:p>
        </w:tc>
        <w:tc>
          <w:tcPr>
            <w:tcW w:w="1288" w:type="dxa"/>
          </w:tcPr>
          <w:p w14:paraId="1D1FD37A"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41/70 (59%)</w:t>
            </w:r>
          </w:p>
        </w:tc>
        <w:tc>
          <w:tcPr>
            <w:tcW w:w="1288" w:type="dxa"/>
          </w:tcPr>
          <w:p w14:paraId="6900B53A"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0.68</w:t>
            </w:r>
          </w:p>
        </w:tc>
        <w:tc>
          <w:tcPr>
            <w:tcW w:w="1288" w:type="dxa"/>
          </w:tcPr>
          <w:p w14:paraId="5B355DF7" w14:textId="77777777" w:rsidR="00A8223D" w:rsidRPr="00A8223D" w:rsidRDefault="00A8223D" w:rsidP="00A8223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Moderate correlation reflects the importance of institutional readiness and ethical training in determining successful AI adoption.</w:t>
            </w:r>
          </w:p>
        </w:tc>
      </w:tr>
      <w:tr w:rsidR="00A8223D" w:rsidRPr="00A8223D" w14:paraId="30E53C05" w14:textId="77777777" w:rsidTr="00B74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4BD8DB77" w14:textId="77777777" w:rsidR="00A8223D" w:rsidRPr="00A8223D" w:rsidRDefault="00A8223D" w:rsidP="00A8223D">
            <w:pPr>
              <w:jc w:val="both"/>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Equity and Accessibility</w:t>
            </w:r>
          </w:p>
        </w:tc>
        <w:tc>
          <w:tcPr>
            <w:tcW w:w="1288" w:type="dxa"/>
          </w:tcPr>
          <w:p w14:paraId="59684004"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Device access rate, rural–</w:t>
            </w:r>
            <w:r w:rsidRPr="00A8223D">
              <w:rPr>
                <w:rFonts w:ascii="Times New Roman" w:eastAsia="Times New Roman" w:hAnsi="Times New Roman" w:cs="Times New Roman"/>
                <w:szCs w:val="22"/>
                <w:lang w:val="en-US" w:bidi="en-US"/>
              </w:rPr>
              <w:lastRenderedPageBreak/>
              <w:t>urban infrastructure gap, digital literacy level</w:t>
            </w:r>
          </w:p>
        </w:tc>
        <w:tc>
          <w:tcPr>
            <w:tcW w:w="1288" w:type="dxa"/>
          </w:tcPr>
          <w:p w14:paraId="0F6CC6DA"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lastRenderedPageBreak/>
              <w:t>48.5</w:t>
            </w:r>
          </w:p>
        </w:tc>
        <w:tc>
          <w:tcPr>
            <w:tcW w:w="1288" w:type="dxa"/>
          </w:tcPr>
          <w:p w14:paraId="5B15542A"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11.2</w:t>
            </w:r>
          </w:p>
        </w:tc>
        <w:tc>
          <w:tcPr>
            <w:tcW w:w="1288" w:type="dxa"/>
          </w:tcPr>
          <w:p w14:paraId="5C4AA739"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36/70 (51%)</w:t>
            </w:r>
          </w:p>
        </w:tc>
        <w:tc>
          <w:tcPr>
            <w:tcW w:w="1288" w:type="dxa"/>
          </w:tcPr>
          <w:p w14:paraId="36FE18FD"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0.64</w:t>
            </w:r>
          </w:p>
        </w:tc>
        <w:tc>
          <w:tcPr>
            <w:tcW w:w="1288" w:type="dxa"/>
          </w:tcPr>
          <w:p w14:paraId="4D116F3C" w14:textId="77777777" w:rsidR="00A8223D" w:rsidRPr="00A8223D" w:rsidRDefault="00A8223D" w:rsidP="00A8223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szCs w:val="22"/>
                <w:lang w:bidi="en-US"/>
              </w:rPr>
            </w:pPr>
            <w:r w:rsidRPr="00A8223D">
              <w:rPr>
                <w:rFonts w:ascii="Times New Roman" w:eastAsia="Times New Roman" w:hAnsi="Times New Roman" w:cs="Times New Roman"/>
                <w:szCs w:val="22"/>
                <w:lang w:val="en-US" w:bidi="en-US"/>
              </w:rPr>
              <w:t xml:space="preserve">Moderate link indicating that </w:t>
            </w:r>
            <w:r w:rsidRPr="00A8223D">
              <w:rPr>
                <w:rFonts w:ascii="Times New Roman" w:eastAsia="Times New Roman" w:hAnsi="Times New Roman" w:cs="Times New Roman"/>
                <w:szCs w:val="22"/>
                <w:lang w:val="en-US" w:bidi="en-US"/>
              </w:rPr>
              <w:lastRenderedPageBreak/>
              <w:t>equitable infrastructure remains essential for inclusive implementation of AI learning systems.</w:t>
            </w:r>
          </w:p>
        </w:tc>
      </w:tr>
    </w:tbl>
    <w:p w14:paraId="653C62E2" w14:textId="77777777" w:rsidR="00A8223D" w:rsidRPr="00A8223D" w:rsidRDefault="00A8223D" w:rsidP="002233F3">
      <w:pPr>
        <w:jc w:val="center"/>
        <w:rPr>
          <w:rFonts w:ascii="Cambria" w:eastAsia="Calibri" w:hAnsi="Cambria" w:cs="Times New Roman"/>
          <w:sz w:val="20"/>
          <w:szCs w:val="20"/>
        </w:rPr>
      </w:pPr>
      <w:r w:rsidRPr="00A8223D">
        <w:rPr>
          <w:rFonts w:ascii="Cambria" w:eastAsia="Calibri" w:hAnsi="Cambria" w:cs="Times New Roman"/>
          <w:b/>
          <w:bCs/>
          <w:sz w:val="20"/>
          <w:szCs w:val="20"/>
        </w:rPr>
        <w:lastRenderedPageBreak/>
        <w:t>Table 1</w:t>
      </w:r>
      <w:r w:rsidRPr="00A8223D">
        <w:rPr>
          <w:rFonts w:ascii="Cambria" w:eastAsia="Calibri" w:hAnsi="Cambria" w:cs="Times New Roman"/>
          <w:sz w:val="20"/>
          <w:szCs w:val="20"/>
        </w:rPr>
        <w:t>. Descriptive and Correlational Analysis of AI–Pedagogy Themes (n = 70 studies)</w:t>
      </w:r>
    </w:p>
    <w:p w14:paraId="58AA547D" w14:textId="77777777" w:rsidR="00A8223D" w:rsidRPr="00A8223D" w:rsidRDefault="00A8223D" w:rsidP="00A8223D">
      <w:pPr>
        <w:rPr>
          <w:rFonts w:ascii="Calibri" w:eastAsia="Calibri" w:hAnsi="Calibri" w:cs="Times New Roman"/>
          <w:sz w:val="22"/>
          <w:szCs w:val="22"/>
        </w:rPr>
      </w:pPr>
    </w:p>
    <w:p w14:paraId="197817D4" w14:textId="77777777" w:rsidR="00A8223D" w:rsidRPr="00A8223D" w:rsidRDefault="00A8223D" w:rsidP="00A8223D">
      <w:pPr>
        <w:keepNext/>
        <w:keepLines/>
        <w:jc w:val="both"/>
        <w:outlineLvl w:val="0"/>
        <w:rPr>
          <w:rFonts w:ascii="Cambria" w:eastAsia="Times New Roman" w:hAnsi="Cambria" w:cs="Times New Roman"/>
          <w:sz w:val="22"/>
          <w:szCs w:val="22"/>
          <w:lang w:bidi="en-US"/>
        </w:rPr>
      </w:pPr>
      <w:r w:rsidRPr="00A8223D">
        <w:rPr>
          <w:rFonts w:ascii="Cambria" w:eastAsia="Times New Roman" w:hAnsi="Cambria" w:cs="Times New Roman"/>
          <w:sz w:val="22"/>
          <w:szCs w:val="22"/>
          <w:lang w:bidi="en-US"/>
        </w:rPr>
        <w:t>Analysis of the 70 reviewed studies demonstrates that the strongest pedagogical contribution of AI lies in personalization and adaptive learning, which recorded the highest prevalence (87%) with a strong correlation to pedagogical impact (r = 0.82). This finding indicates that adaptive learning systems are consistently effective in improving motivation, engagement, and retention across diverse learning groups. Efficiency and automation represented the second-highest benefit observed (74%; r = 0.79), demonstrating that automated grading, analytics, and administrative tools substantially reduce faculty workload and enhance the consistency of feedback. Innovation and creativity, supported mainly by generative AI tools, also showed a positive association (70%; r = 0.76), highlighting the growing role of AI in promoting originality, problem-solving, and inquiry-based learning. Conversely, ethics and readiness (59%; r = 0.68) and equity and accessibility (51%; r = 0.64) were the lowest-scoring themes, indicating continued challenges: insufficient training for faculty, algorithmic transparency concerns, and unequal digital access between institutions. Collectively, these findings show that while AI offers strong pedagogical advantages, its full potential can only be achieved when ethical governance, infrastructure, and equity issues are addressed alongside technological innovation.</w:t>
      </w:r>
    </w:p>
    <w:p w14:paraId="16DB2D39" w14:textId="77777777" w:rsidR="00342B39" w:rsidRPr="002233F3" w:rsidRDefault="00342B39" w:rsidP="00342B39">
      <w:pPr>
        <w:rPr>
          <w:rFonts w:ascii="Cambria" w:hAnsi="Cambria"/>
          <w:sz w:val="22"/>
          <w:szCs w:val="22"/>
        </w:rPr>
      </w:pPr>
    </w:p>
    <w:p w14:paraId="7162AFE8" w14:textId="77777777" w:rsidR="00342B39" w:rsidRPr="002233F3" w:rsidRDefault="00342B39" w:rsidP="00342B39">
      <w:pPr>
        <w:rPr>
          <w:rFonts w:ascii="Cambria" w:hAnsi="Cambria"/>
          <w:sz w:val="22"/>
          <w:szCs w:val="22"/>
        </w:rPr>
      </w:pPr>
    </w:p>
    <w:p w14:paraId="72034D11" w14:textId="03D41552" w:rsidR="00342B39" w:rsidRPr="00307C15" w:rsidRDefault="00342B39" w:rsidP="00E53B9A">
      <w:pPr>
        <w:pStyle w:val="ListParagraph"/>
        <w:numPr>
          <w:ilvl w:val="0"/>
          <w:numId w:val="2"/>
        </w:numPr>
        <w:ind w:left="567" w:hanging="567"/>
        <w:rPr>
          <w:rFonts w:ascii="Cambria" w:hAnsi="Cambria"/>
          <w:b/>
          <w:bCs/>
          <w:sz w:val="22"/>
          <w:szCs w:val="22"/>
        </w:rPr>
      </w:pPr>
      <w:r w:rsidRPr="00307C15">
        <w:rPr>
          <w:rFonts w:ascii="Cambria" w:hAnsi="Cambria"/>
          <w:b/>
          <w:bCs/>
          <w:sz w:val="22"/>
          <w:szCs w:val="22"/>
        </w:rPr>
        <w:t xml:space="preserve">RESEARCH </w:t>
      </w:r>
      <w:r w:rsidR="00307C15" w:rsidRPr="00307C15">
        <w:rPr>
          <w:rFonts w:ascii="Cambria" w:hAnsi="Cambria"/>
          <w:b/>
          <w:bCs/>
          <w:sz w:val="22"/>
          <w:szCs w:val="22"/>
        </w:rPr>
        <w:t>AND DISCUSSIONS</w:t>
      </w:r>
    </w:p>
    <w:p w14:paraId="03B073B3" w14:textId="77777777" w:rsidR="00342B39" w:rsidRPr="005D2DE5" w:rsidRDefault="00342B39" w:rsidP="00342B39">
      <w:pPr>
        <w:rPr>
          <w:rFonts w:ascii="Cambria" w:hAnsi="Cambria"/>
        </w:rPr>
      </w:pPr>
    </w:p>
    <w:p w14:paraId="16102CEB" w14:textId="54AFD1A3" w:rsidR="00A9481B" w:rsidRPr="00A9481B" w:rsidRDefault="00A9481B" w:rsidP="007873BC">
      <w:pPr>
        <w:tabs>
          <w:tab w:val="left" w:pos="540"/>
        </w:tabs>
        <w:jc w:val="both"/>
        <w:rPr>
          <w:rFonts w:ascii="Cambria" w:eastAsia="Times New Roman" w:hAnsi="Cambria" w:cs="Times New Roman"/>
          <w:b/>
          <w:bCs/>
          <w:sz w:val="22"/>
          <w:szCs w:val="22"/>
          <w:lang w:bidi="en-US"/>
        </w:rPr>
      </w:pPr>
      <w:r w:rsidRPr="00A9481B">
        <w:rPr>
          <w:rFonts w:ascii="Cambria" w:eastAsia="Times New Roman" w:hAnsi="Cambria" w:cs="Times New Roman"/>
          <w:b/>
          <w:bCs/>
          <w:sz w:val="22"/>
          <w:szCs w:val="22"/>
          <w:lang w:bidi="en-US"/>
        </w:rPr>
        <w:t>4.</w:t>
      </w:r>
      <w:r w:rsidR="00F938EB">
        <w:rPr>
          <w:rFonts w:ascii="Cambria" w:eastAsia="Times New Roman" w:hAnsi="Cambria" w:cs="Times New Roman"/>
          <w:b/>
          <w:bCs/>
          <w:sz w:val="22"/>
          <w:szCs w:val="22"/>
          <w:lang w:bidi="en-US"/>
        </w:rPr>
        <w:t xml:space="preserve">1 </w:t>
      </w:r>
      <w:r w:rsidR="007873BC">
        <w:rPr>
          <w:rFonts w:ascii="Cambria" w:eastAsia="Times New Roman" w:hAnsi="Cambria" w:cs="Times New Roman"/>
          <w:b/>
          <w:bCs/>
          <w:sz w:val="22"/>
          <w:szCs w:val="22"/>
          <w:lang w:bidi="en-US"/>
        </w:rPr>
        <w:tab/>
      </w:r>
      <w:r w:rsidRPr="00A9481B">
        <w:rPr>
          <w:rFonts w:ascii="Cambria" w:eastAsia="Times New Roman" w:hAnsi="Cambria" w:cs="Times New Roman"/>
          <w:b/>
          <w:bCs/>
          <w:sz w:val="22"/>
          <w:szCs w:val="22"/>
          <w:lang w:bidi="en-US"/>
        </w:rPr>
        <w:t>Opportunities of AI in Higher Education</w:t>
      </w:r>
    </w:p>
    <w:p w14:paraId="0597FF94" w14:textId="77777777" w:rsidR="00A9481B" w:rsidRPr="00A9481B" w:rsidRDefault="00A9481B" w:rsidP="00A9481B">
      <w:pPr>
        <w:jc w:val="both"/>
        <w:rPr>
          <w:rFonts w:ascii="Cambria" w:eastAsia="Times New Roman" w:hAnsi="Cambria" w:cs="Times New Roman"/>
          <w:sz w:val="22"/>
          <w:szCs w:val="22"/>
          <w:lang w:bidi="en-US"/>
        </w:rPr>
      </w:pPr>
    </w:p>
    <w:p w14:paraId="333479D4"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The review demonstrates that AI provides a range of pedagogical opportunities, the most prominent of which include personalized learning, enhanced teaching efficiency, and innovative practices that redefine how knowledge is constructed and assessed.</w:t>
      </w:r>
    </w:p>
    <w:p w14:paraId="7F32822B" w14:textId="77777777" w:rsidR="00A9481B" w:rsidRPr="00A9481B" w:rsidRDefault="00A9481B" w:rsidP="00A9481B">
      <w:pPr>
        <w:jc w:val="both"/>
        <w:rPr>
          <w:rFonts w:ascii="Cambria" w:eastAsia="Times New Roman" w:hAnsi="Cambria" w:cs="Times New Roman"/>
          <w:sz w:val="22"/>
          <w:szCs w:val="22"/>
          <w:lang w:bidi="en-US"/>
        </w:rPr>
      </w:pPr>
    </w:p>
    <w:p w14:paraId="4FB8A8C0"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 xml:space="preserve">One of the most significant advantages of AI integration is the capacity for personalized and adaptive learning. Unlike traditional models that deliver standardized content to all students, AI systems are capable of </w:t>
      </w:r>
      <w:proofErr w:type="spellStart"/>
      <w:r w:rsidRPr="00A9481B">
        <w:rPr>
          <w:rFonts w:ascii="Cambria" w:eastAsia="Times New Roman" w:hAnsi="Cambria" w:cs="Times New Roman"/>
          <w:sz w:val="22"/>
          <w:szCs w:val="22"/>
          <w:lang w:bidi="en-US"/>
        </w:rPr>
        <w:t>analyzing</w:t>
      </w:r>
      <w:proofErr w:type="spellEnd"/>
      <w:r w:rsidRPr="00A9481B">
        <w:rPr>
          <w:rFonts w:ascii="Cambria" w:eastAsia="Times New Roman" w:hAnsi="Cambria" w:cs="Times New Roman"/>
          <w:sz w:val="22"/>
          <w:szCs w:val="22"/>
          <w:lang w:bidi="en-US"/>
        </w:rPr>
        <w:t xml:space="preserve"> patterns in learner </w:t>
      </w:r>
      <w:proofErr w:type="spellStart"/>
      <w:r w:rsidRPr="00A9481B">
        <w:rPr>
          <w:rFonts w:ascii="Cambria" w:eastAsia="Times New Roman" w:hAnsi="Cambria" w:cs="Times New Roman"/>
          <w:sz w:val="22"/>
          <w:szCs w:val="22"/>
          <w:lang w:bidi="en-US"/>
        </w:rPr>
        <w:t>behavior</w:t>
      </w:r>
      <w:proofErr w:type="spellEnd"/>
      <w:r w:rsidRPr="00A9481B">
        <w:rPr>
          <w:rFonts w:ascii="Cambria" w:eastAsia="Times New Roman" w:hAnsi="Cambria" w:cs="Times New Roman"/>
          <w:sz w:val="22"/>
          <w:szCs w:val="22"/>
          <w:lang w:bidi="en-US"/>
        </w:rPr>
        <w:t xml:space="preserve">, identifying areas of strength and weakness, and adapting learning materials in real time. Studies by Chen et al. (2020) and Zhu et al. (2024) consistently report improvements in student engagement and reduced dropout rates when adaptive platforms are implemented. More recent evidence strengthens this claim: Tan et al. (2025) highlighted that adaptive learning platforms significantly improved retention when they employed data-driven scaffolding strategies, tailoring both the pace and modality of instruction. In Malaysia, platforms piloted at Universiti Malaya and </w:t>
      </w:r>
      <w:proofErr w:type="spellStart"/>
      <w:r w:rsidRPr="00A9481B">
        <w:rPr>
          <w:rFonts w:ascii="Cambria" w:eastAsia="Times New Roman" w:hAnsi="Cambria" w:cs="Times New Roman"/>
          <w:sz w:val="22"/>
          <w:szCs w:val="22"/>
          <w:lang w:bidi="en-US"/>
        </w:rPr>
        <w:t>UTeM</w:t>
      </w:r>
      <w:proofErr w:type="spellEnd"/>
      <w:r w:rsidRPr="00A9481B">
        <w:rPr>
          <w:rFonts w:ascii="Cambria" w:eastAsia="Times New Roman" w:hAnsi="Cambria" w:cs="Times New Roman"/>
          <w:sz w:val="22"/>
          <w:szCs w:val="22"/>
          <w:lang w:bidi="en-US"/>
        </w:rPr>
        <w:t xml:space="preserve"> show promise in supporting students from diverse linguistic and socio-economic backgrounds, thereby aligning personalization with national goals of inclusivity in higher education.</w:t>
      </w:r>
    </w:p>
    <w:p w14:paraId="7A2EB4C6" w14:textId="77777777" w:rsidR="00A9481B" w:rsidRPr="00A9481B" w:rsidRDefault="00A9481B" w:rsidP="00A9481B">
      <w:pPr>
        <w:jc w:val="both"/>
        <w:rPr>
          <w:rFonts w:ascii="Cambria" w:eastAsia="Times New Roman" w:hAnsi="Cambria" w:cs="Times New Roman"/>
          <w:sz w:val="22"/>
          <w:szCs w:val="22"/>
          <w:lang w:bidi="en-US"/>
        </w:rPr>
      </w:pPr>
    </w:p>
    <w:p w14:paraId="6CDA06C3"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 xml:space="preserve">AI also offers considerable gains in teaching efficiency. Automated grading systems such as </w:t>
      </w:r>
      <w:proofErr w:type="spellStart"/>
      <w:r w:rsidRPr="00A9481B">
        <w:rPr>
          <w:rFonts w:ascii="Cambria" w:eastAsia="Times New Roman" w:hAnsi="Cambria" w:cs="Times New Roman"/>
          <w:sz w:val="22"/>
          <w:szCs w:val="22"/>
          <w:lang w:bidi="en-US"/>
        </w:rPr>
        <w:t>Gradescope</w:t>
      </w:r>
      <w:proofErr w:type="spellEnd"/>
      <w:r w:rsidRPr="00A9481B">
        <w:rPr>
          <w:rFonts w:ascii="Cambria" w:eastAsia="Times New Roman" w:hAnsi="Cambria" w:cs="Times New Roman"/>
          <w:sz w:val="22"/>
          <w:szCs w:val="22"/>
          <w:lang w:bidi="en-US"/>
        </w:rPr>
        <w:t xml:space="preserve">, plagiarism detection tools like Turnitin, and LMS analytics embedded with predictive functions reduce the time required for faculty to manage repetitive administrative tasks. </w:t>
      </w:r>
      <w:proofErr w:type="spellStart"/>
      <w:r w:rsidRPr="00A9481B">
        <w:rPr>
          <w:rFonts w:ascii="Cambria" w:eastAsia="Times New Roman" w:hAnsi="Cambria" w:cs="Times New Roman"/>
          <w:sz w:val="22"/>
          <w:szCs w:val="22"/>
          <w:lang w:bidi="en-US"/>
        </w:rPr>
        <w:t>UTeM’s</w:t>
      </w:r>
      <w:proofErr w:type="spellEnd"/>
      <w:r w:rsidRPr="00A9481B">
        <w:rPr>
          <w:rFonts w:ascii="Cambria" w:eastAsia="Times New Roman" w:hAnsi="Cambria" w:cs="Times New Roman"/>
          <w:sz w:val="22"/>
          <w:szCs w:val="22"/>
          <w:lang w:bidi="en-US"/>
        </w:rPr>
        <w:t xml:space="preserve"> 2023 report revealed that faculty members saved up to 60 percent of their administrative time through AI-enabled University Management Systems, freeing them to engage more directly with students through mentoring and research. These findings echo broader international experiences where AI chatbots provide 24-hour academic assistance, libraries </w:t>
      </w:r>
      <w:r w:rsidRPr="00A9481B">
        <w:rPr>
          <w:rFonts w:ascii="Cambria" w:eastAsia="Times New Roman" w:hAnsi="Cambria" w:cs="Times New Roman"/>
          <w:sz w:val="22"/>
          <w:szCs w:val="22"/>
          <w:lang w:bidi="en-US"/>
        </w:rPr>
        <w:lastRenderedPageBreak/>
        <w:t>employ AI for digital cataloguing, and smart lockers improve student access to resources (</w:t>
      </w:r>
      <w:proofErr w:type="spellStart"/>
      <w:r w:rsidRPr="00A9481B">
        <w:rPr>
          <w:rFonts w:ascii="Cambria" w:eastAsia="Times New Roman" w:hAnsi="Cambria" w:cs="Times New Roman"/>
          <w:sz w:val="22"/>
          <w:szCs w:val="22"/>
          <w:lang w:bidi="en-US"/>
        </w:rPr>
        <w:t>Nkambou</w:t>
      </w:r>
      <w:proofErr w:type="spellEnd"/>
      <w:r w:rsidRPr="00A9481B">
        <w:rPr>
          <w:rFonts w:ascii="Cambria" w:eastAsia="Times New Roman" w:hAnsi="Cambria" w:cs="Times New Roman"/>
          <w:sz w:val="22"/>
          <w:szCs w:val="22"/>
          <w:lang w:bidi="en-US"/>
        </w:rPr>
        <w:t>, Bourdeau, &amp; Mizoguchi, 2022). Such automation not only reduces workload but also enhances consistency and fairness in feedback, a challenge often cited in large-enrolment courses.</w:t>
      </w:r>
    </w:p>
    <w:p w14:paraId="03426A58"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Beyond efficiency, AI facilitates innovative pedagogical practices that transform the nature of learning experiences. Generative AI, in particular, has emerged as a catalyst for creativity and experimentation. Qian et al. (2025) found that generative tools supported brainstorming, critical thinking, and early drafting processes, encouraging students to engage more actively with assignments. Case studies from UNITAR International University show that incorporating AI into project-based Learning, such as requiring students to critique or improve AI-generated content, fostered deeper critical reflection and improved digital literacy. Similarly, Hemminki-Reijonen et al. (2025) demonstrated the potential of integrating generative AI with virtual reality, where AI-powered pedagogical characters enhanced immersion and engagement in sustainability education. These findings suggest that AI enables a shift toward inquiry-based, collaborative, and experiential learning, aligning with 21st-century educational priorities.</w:t>
      </w:r>
    </w:p>
    <w:p w14:paraId="25F65D0E" w14:textId="77777777" w:rsidR="00A9481B" w:rsidRPr="00A9481B" w:rsidRDefault="00A9481B" w:rsidP="00A9481B">
      <w:pPr>
        <w:jc w:val="both"/>
        <w:rPr>
          <w:rFonts w:ascii="Cambria" w:eastAsia="Times New Roman" w:hAnsi="Cambria" w:cs="Times New Roman"/>
          <w:sz w:val="22"/>
          <w:szCs w:val="22"/>
          <w:lang w:bidi="en-US"/>
        </w:rPr>
      </w:pPr>
    </w:p>
    <w:p w14:paraId="775CA692"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AI also contributes to equity and accessibility when appropriately deployed. Assistive technologies powered by AI, including speech-to-text applications and predictive text tools, have been shown to reduce barriers for students with disabilities (Dumitru et al., 2025). In Malaysia, such tools are particularly valuable in promoting inclusive education as outlined in the Malaysia Education Blueprint (2013–2025). Moreover, AI’s capacity to deliver content in multiple languages and modalities is especially relevant for multilingual and multicultural student populations. By supporting learners with diverse needs, AI can help higher education institutions uphold their social responsibility to provide equitable access to quality education.</w:t>
      </w:r>
    </w:p>
    <w:p w14:paraId="386F20A2" w14:textId="77777777" w:rsidR="00A9481B" w:rsidRPr="00A9481B" w:rsidRDefault="00A9481B" w:rsidP="00A9481B">
      <w:pPr>
        <w:jc w:val="both"/>
        <w:rPr>
          <w:rFonts w:ascii="Cambria" w:eastAsia="Times New Roman" w:hAnsi="Cambria" w:cs="Times New Roman"/>
          <w:sz w:val="22"/>
          <w:szCs w:val="22"/>
          <w:lang w:bidi="en-US"/>
        </w:rPr>
      </w:pPr>
    </w:p>
    <w:p w14:paraId="1A43A86B" w14:textId="0EAD961B" w:rsidR="00A9481B" w:rsidRPr="00A9481B" w:rsidRDefault="00A9481B" w:rsidP="007873BC">
      <w:pPr>
        <w:tabs>
          <w:tab w:val="left" w:pos="540"/>
        </w:tabs>
        <w:jc w:val="both"/>
        <w:rPr>
          <w:rFonts w:ascii="Cambria" w:eastAsia="Times New Roman" w:hAnsi="Cambria" w:cs="Times New Roman"/>
          <w:b/>
          <w:bCs/>
          <w:sz w:val="22"/>
          <w:szCs w:val="22"/>
          <w:lang w:bidi="en-US"/>
        </w:rPr>
      </w:pPr>
      <w:r w:rsidRPr="00A9481B">
        <w:rPr>
          <w:rFonts w:ascii="Cambria" w:eastAsia="Times New Roman" w:hAnsi="Cambria" w:cs="Times New Roman"/>
          <w:b/>
          <w:bCs/>
          <w:sz w:val="22"/>
          <w:szCs w:val="22"/>
          <w:lang w:bidi="en-US"/>
        </w:rPr>
        <w:t xml:space="preserve">4.2 </w:t>
      </w:r>
      <w:r w:rsidR="007873BC">
        <w:rPr>
          <w:rFonts w:ascii="Cambria" w:eastAsia="Times New Roman" w:hAnsi="Cambria" w:cs="Times New Roman"/>
          <w:b/>
          <w:bCs/>
          <w:sz w:val="22"/>
          <w:szCs w:val="22"/>
          <w:lang w:bidi="en-US"/>
        </w:rPr>
        <w:tab/>
      </w:r>
      <w:r w:rsidRPr="00A9481B">
        <w:rPr>
          <w:rFonts w:ascii="Cambria" w:eastAsia="Times New Roman" w:hAnsi="Cambria" w:cs="Times New Roman"/>
          <w:b/>
          <w:bCs/>
          <w:sz w:val="22"/>
          <w:szCs w:val="22"/>
          <w:lang w:bidi="en-US"/>
        </w:rPr>
        <w:t>Challenges of AI in Higher Education</w:t>
      </w:r>
    </w:p>
    <w:p w14:paraId="30A0C1E0" w14:textId="77777777" w:rsidR="00A9481B" w:rsidRPr="00A9481B" w:rsidRDefault="00A9481B" w:rsidP="00A9481B">
      <w:pPr>
        <w:jc w:val="both"/>
        <w:rPr>
          <w:rFonts w:ascii="Cambria" w:eastAsia="Times New Roman" w:hAnsi="Cambria" w:cs="Times New Roman"/>
          <w:sz w:val="22"/>
          <w:szCs w:val="22"/>
          <w:lang w:bidi="en-US"/>
        </w:rPr>
      </w:pPr>
    </w:p>
    <w:p w14:paraId="223A8046"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Despite these opportunities, the review highlights substantial challenges that demand careful consideration.</w:t>
      </w:r>
    </w:p>
    <w:p w14:paraId="3957C55D" w14:textId="77777777" w:rsidR="00A9481B" w:rsidRPr="00A9481B" w:rsidRDefault="00A9481B" w:rsidP="00A9481B">
      <w:pPr>
        <w:jc w:val="both"/>
        <w:rPr>
          <w:rFonts w:ascii="Cambria" w:eastAsia="Times New Roman" w:hAnsi="Cambria" w:cs="Times New Roman"/>
          <w:sz w:val="22"/>
          <w:szCs w:val="22"/>
          <w:lang w:bidi="en-US"/>
        </w:rPr>
      </w:pPr>
    </w:p>
    <w:p w14:paraId="773B42A5" w14:textId="61D53305"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 xml:space="preserve">A central concern </w:t>
      </w:r>
      <w:r w:rsidR="007F792C">
        <w:rPr>
          <w:rFonts w:ascii="Cambria" w:eastAsia="Times New Roman" w:hAnsi="Cambria" w:cs="Times New Roman"/>
          <w:sz w:val="22"/>
          <w:szCs w:val="22"/>
          <w:lang w:bidi="en-US"/>
        </w:rPr>
        <w:t>is</w:t>
      </w:r>
      <w:r w:rsidRPr="00A9481B">
        <w:rPr>
          <w:rFonts w:ascii="Cambria" w:eastAsia="Times New Roman" w:hAnsi="Cambria" w:cs="Times New Roman"/>
          <w:sz w:val="22"/>
          <w:szCs w:val="22"/>
          <w:lang w:bidi="en-US"/>
        </w:rPr>
        <w:t xml:space="preserve"> ethical issues </w:t>
      </w:r>
      <w:r w:rsidR="007F792C">
        <w:rPr>
          <w:rFonts w:ascii="Cambria" w:eastAsia="Times New Roman" w:hAnsi="Cambria" w:cs="Times New Roman"/>
          <w:sz w:val="22"/>
          <w:szCs w:val="22"/>
          <w:lang w:bidi="en-US"/>
        </w:rPr>
        <w:t>related to</w:t>
      </w:r>
      <w:r w:rsidRPr="00A9481B">
        <w:rPr>
          <w:rFonts w:ascii="Cambria" w:eastAsia="Times New Roman" w:hAnsi="Cambria" w:cs="Times New Roman"/>
          <w:sz w:val="22"/>
          <w:szCs w:val="22"/>
          <w:lang w:bidi="en-US"/>
        </w:rPr>
        <w:t xml:space="preserve"> transparency, fairness, and data privacy. Luo et al. (2025) observed that many AI-based tools operate as “black boxes,” offering little insight into how algorithms generate decisions or recommendations. This lack of transparency undermines trust among both students and faculty. Moreover, bias embedded in training datasets can perpetuate stereotypes or disadvantage specific groups of learners. In Malaysia, where student populations are linguistically and culturally diverse, algorithmic bias poses a significant risk to fairness. Additionally, questions of data ownership and security persist. As AI systems collect vast amounts of student information from performance metrics to </w:t>
      </w:r>
      <w:r w:rsidR="0005459F" w:rsidRPr="00A9481B">
        <w:rPr>
          <w:rFonts w:ascii="Cambria" w:eastAsia="Times New Roman" w:hAnsi="Cambria" w:cs="Times New Roman"/>
          <w:sz w:val="22"/>
          <w:szCs w:val="22"/>
          <w:lang w:bidi="en-US"/>
        </w:rPr>
        <w:t>behavioural</w:t>
      </w:r>
      <w:r w:rsidRPr="00A9481B">
        <w:rPr>
          <w:rFonts w:ascii="Cambria" w:eastAsia="Times New Roman" w:hAnsi="Cambria" w:cs="Times New Roman"/>
          <w:sz w:val="22"/>
          <w:szCs w:val="22"/>
          <w:lang w:bidi="en-US"/>
        </w:rPr>
        <w:t xml:space="preserve"> patterns, clear policies are needed to safeguard privacy and establish ethical boundaries for data use.</w:t>
      </w:r>
    </w:p>
    <w:p w14:paraId="3778A72F" w14:textId="1C721963"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 xml:space="preserve">Equally pressing are the challenges of academic integrity. Generative AI tools have blurred traditional distinctions between original student work and AI-assisted outputs. Cotton et al. (2023) argued that the use of AI in assignments risks undermining trust in assessment systems unless institutions adapt. Recent studies confirm this risk: researchers in the United Kingdom demonstrated that AI-generated exam papers could deceive human markers, exposing vulnerabilities in current assessment practices. Malaysian universities, including </w:t>
      </w:r>
      <w:r w:rsidR="0005459F" w:rsidRPr="00A9481B">
        <w:rPr>
          <w:rFonts w:ascii="Cambria" w:eastAsia="Times New Roman" w:hAnsi="Cambria" w:cs="Times New Roman"/>
          <w:sz w:val="22"/>
          <w:szCs w:val="22"/>
          <w:lang w:bidi="en-US"/>
        </w:rPr>
        <w:t>University</w:t>
      </w:r>
      <w:r w:rsidRPr="00A9481B">
        <w:rPr>
          <w:rFonts w:ascii="Cambria" w:eastAsia="Times New Roman" w:hAnsi="Cambria" w:cs="Times New Roman"/>
          <w:sz w:val="22"/>
          <w:szCs w:val="22"/>
          <w:lang w:bidi="en-US"/>
        </w:rPr>
        <w:t xml:space="preserve"> Malaya, have reported growing concern</w:t>
      </w:r>
      <w:r w:rsidR="007F792C">
        <w:rPr>
          <w:rFonts w:ascii="Cambria" w:eastAsia="Times New Roman" w:hAnsi="Cambria" w:cs="Times New Roman"/>
          <w:sz w:val="22"/>
          <w:szCs w:val="22"/>
          <w:lang w:bidi="en-US"/>
        </w:rPr>
        <w:t>s about</w:t>
      </w:r>
      <w:r w:rsidRPr="00A9481B">
        <w:rPr>
          <w:rFonts w:ascii="Cambria" w:eastAsia="Times New Roman" w:hAnsi="Cambria" w:cs="Times New Roman"/>
          <w:sz w:val="22"/>
          <w:szCs w:val="22"/>
          <w:lang w:bidi="en-US"/>
        </w:rPr>
        <w:t xml:space="preserve"> </w:t>
      </w:r>
      <w:r w:rsidR="007F792C">
        <w:rPr>
          <w:rFonts w:ascii="Cambria" w:eastAsia="Times New Roman" w:hAnsi="Cambria" w:cs="Times New Roman"/>
          <w:sz w:val="22"/>
          <w:szCs w:val="22"/>
          <w:lang w:bidi="en-US"/>
        </w:rPr>
        <w:t>the limitations of</w:t>
      </w:r>
      <w:r w:rsidRPr="00A9481B">
        <w:rPr>
          <w:rFonts w:ascii="Cambria" w:eastAsia="Times New Roman" w:hAnsi="Cambria" w:cs="Times New Roman"/>
          <w:sz w:val="22"/>
          <w:szCs w:val="22"/>
          <w:lang w:bidi="en-US"/>
        </w:rPr>
        <w:t xml:space="preserve"> plagiarism detection when faced with AI-generated text. These developments point to an urgent need for assessment redesign, with greater emphasis on oral </w:t>
      </w:r>
      <w:r w:rsidR="0005459F" w:rsidRPr="00A9481B">
        <w:rPr>
          <w:rFonts w:ascii="Cambria" w:eastAsia="Times New Roman" w:hAnsi="Cambria" w:cs="Times New Roman"/>
          <w:sz w:val="22"/>
          <w:szCs w:val="22"/>
          <w:lang w:bidi="en-US"/>
        </w:rPr>
        <w:t>defences</w:t>
      </w:r>
      <w:r w:rsidRPr="00A9481B">
        <w:rPr>
          <w:rFonts w:ascii="Cambria" w:eastAsia="Times New Roman" w:hAnsi="Cambria" w:cs="Times New Roman"/>
          <w:sz w:val="22"/>
          <w:szCs w:val="22"/>
          <w:lang w:bidi="en-US"/>
        </w:rPr>
        <w:t>, reflective writing, and collaborative projects that cannot be easily replicated by AI.</w:t>
      </w:r>
    </w:p>
    <w:p w14:paraId="2AB277A3" w14:textId="77777777" w:rsidR="00A9481B" w:rsidRPr="00A9481B" w:rsidRDefault="00A9481B" w:rsidP="00A9481B">
      <w:pPr>
        <w:jc w:val="both"/>
        <w:rPr>
          <w:rFonts w:ascii="Cambria" w:eastAsia="Times New Roman" w:hAnsi="Cambria" w:cs="Times New Roman"/>
          <w:sz w:val="22"/>
          <w:szCs w:val="22"/>
          <w:lang w:bidi="en-US"/>
        </w:rPr>
      </w:pPr>
    </w:p>
    <w:p w14:paraId="1BA47F95" w14:textId="55EF7F0B" w:rsid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 xml:space="preserve">The issue of digital equity also presents a formidable barrier. While well-resourced universities in urban </w:t>
      </w:r>
      <w:r w:rsidR="0005459F" w:rsidRPr="00A9481B">
        <w:rPr>
          <w:rFonts w:ascii="Cambria" w:eastAsia="Times New Roman" w:hAnsi="Cambria" w:cs="Times New Roman"/>
          <w:sz w:val="22"/>
          <w:szCs w:val="22"/>
          <w:lang w:bidi="en-US"/>
        </w:rPr>
        <w:t>centres</w:t>
      </w:r>
      <w:r w:rsidRPr="00A9481B">
        <w:rPr>
          <w:rFonts w:ascii="Cambria" w:eastAsia="Times New Roman" w:hAnsi="Cambria" w:cs="Times New Roman"/>
          <w:sz w:val="22"/>
          <w:szCs w:val="22"/>
          <w:lang w:bidi="en-US"/>
        </w:rPr>
        <w:t xml:space="preserve"> may integrate AI smoothly, institutions in rural Malaysia often face constraints related to infrastructure, bandwidth, and cost. UNESCO (2023) cautions that unless governments and universities proactively address these disparities, AI may exacerbate rather than reduce </w:t>
      </w:r>
      <w:r w:rsidRPr="00A9481B">
        <w:rPr>
          <w:rFonts w:ascii="Cambria" w:eastAsia="Times New Roman" w:hAnsi="Cambria" w:cs="Times New Roman"/>
          <w:sz w:val="22"/>
          <w:szCs w:val="22"/>
          <w:lang w:bidi="en-US"/>
        </w:rPr>
        <w:lastRenderedPageBreak/>
        <w:t>inequalities in higher education. Furthermore, reliance on commercial AI tools often entails subscription costs, raising concerns about affordability for both institutions and students.</w:t>
      </w:r>
    </w:p>
    <w:p w14:paraId="28FF0B68" w14:textId="77777777" w:rsidR="00CE22CB" w:rsidRPr="00A9481B" w:rsidRDefault="00CE22CB" w:rsidP="00A9481B">
      <w:pPr>
        <w:jc w:val="both"/>
        <w:rPr>
          <w:rFonts w:ascii="Cambria" w:eastAsia="Times New Roman" w:hAnsi="Cambria" w:cs="Times New Roman"/>
          <w:sz w:val="22"/>
          <w:szCs w:val="22"/>
          <w:lang w:bidi="en-US"/>
        </w:rPr>
      </w:pPr>
    </w:p>
    <w:p w14:paraId="10BF4907" w14:textId="77777777" w:rsidR="00A9481B" w:rsidRPr="00A9481B" w:rsidRDefault="00A9481B" w:rsidP="00A9481B">
      <w:pPr>
        <w:jc w:val="both"/>
        <w:rPr>
          <w:rFonts w:ascii="Cambria" w:eastAsia="Times New Roman" w:hAnsi="Cambria" w:cs="Times New Roman"/>
          <w:sz w:val="22"/>
          <w:szCs w:val="22"/>
          <w:lang w:bidi="en-US"/>
        </w:rPr>
      </w:pPr>
      <w:r w:rsidRPr="00A9481B">
        <w:rPr>
          <w:rFonts w:ascii="Cambria" w:eastAsia="Times New Roman" w:hAnsi="Cambria" w:cs="Times New Roman"/>
          <w:sz w:val="22"/>
          <w:szCs w:val="22"/>
          <w:lang w:bidi="en-US"/>
        </w:rPr>
        <w:t xml:space="preserve">Finally, faculty readiness emerges as a consistent challenge. While some educators adopt AI enthusiastically, others remain hesitant due to limited training and uncertainty about pedagogical implications. Qian et al. (2025) reported that many academics felt ill-equipped to integrate generative AI meaningfully, fearing it might erode their professional authority or complicate workload management. Malaysian case studies reveal similar patterns: UNITAR International University identified over-reliance and ethical dilemmas as significant challenges, while </w:t>
      </w:r>
      <w:proofErr w:type="spellStart"/>
      <w:r w:rsidRPr="00A9481B">
        <w:rPr>
          <w:rFonts w:ascii="Cambria" w:eastAsia="Times New Roman" w:hAnsi="Cambria" w:cs="Times New Roman"/>
          <w:sz w:val="22"/>
          <w:szCs w:val="22"/>
          <w:lang w:bidi="en-US"/>
        </w:rPr>
        <w:t>UTeM</w:t>
      </w:r>
      <w:proofErr w:type="spellEnd"/>
      <w:r w:rsidRPr="00A9481B">
        <w:rPr>
          <w:rFonts w:ascii="Cambria" w:eastAsia="Times New Roman" w:hAnsi="Cambria" w:cs="Times New Roman"/>
          <w:sz w:val="22"/>
          <w:szCs w:val="22"/>
          <w:lang w:bidi="en-US"/>
        </w:rPr>
        <w:t xml:space="preserve"> emphasized the need for comprehensive professional development to support effective integration. Faculty concerns highlight the necessity of institutional support, including targeted training, communities of practice, and clear guidelines on acceptable AI use.</w:t>
      </w:r>
    </w:p>
    <w:p w14:paraId="5D18FD2C" w14:textId="77777777" w:rsidR="00342B39" w:rsidRPr="00CE22CB" w:rsidRDefault="00342B39" w:rsidP="00342B39">
      <w:pPr>
        <w:rPr>
          <w:rFonts w:ascii="Cambria" w:hAnsi="Cambria"/>
          <w:sz w:val="22"/>
          <w:szCs w:val="22"/>
        </w:rPr>
      </w:pPr>
    </w:p>
    <w:p w14:paraId="22B563D1" w14:textId="77777777" w:rsidR="008107EB" w:rsidRPr="00CE22CB" w:rsidRDefault="008107EB" w:rsidP="00342B39">
      <w:pPr>
        <w:rPr>
          <w:rFonts w:ascii="Cambria" w:hAnsi="Cambria"/>
          <w:sz w:val="22"/>
          <w:szCs w:val="22"/>
        </w:rPr>
      </w:pPr>
    </w:p>
    <w:p w14:paraId="3FF0081B" w14:textId="77777777" w:rsidR="00CE22CB" w:rsidRDefault="00342B39" w:rsidP="00CE22CB">
      <w:pPr>
        <w:pStyle w:val="ListParagraph"/>
        <w:numPr>
          <w:ilvl w:val="0"/>
          <w:numId w:val="2"/>
        </w:numPr>
        <w:ind w:left="567" w:hanging="567"/>
        <w:rPr>
          <w:rFonts w:ascii="Cambria" w:hAnsi="Cambria"/>
          <w:b/>
          <w:bCs/>
          <w:sz w:val="22"/>
          <w:szCs w:val="22"/>
        </w:rPr>
      </w:pPr>
      <w:r w:rsidRPr="00736E9F">
        <w:rPr>
          <w:rFonts w:ascii="Cambria" w:hAnsi="Cambria"/>
          <w:b/>
          <w:bCs/>
          <w:sz w:val="22"/>
          <w:szCs w:val="22"/>
        </w:rPr>
        <w:t>RECOMMENDATIONS</w:t>
      </w:r>
    </w:p>
    <w:p w14:paraId="5AC24A63" w14:textId="77777777" w:rsidR="00CE22CB" w:rsidRDefault="00CE22CB" w:rsidP="00CE22CB">
      <w:pPr>
        <w:rPr>
          <w:rFonts w:ascii="Cambria" w:eastAsia="Times New Roman" w:hAnsi="Cambria" w:cs="Times New Roman"/>
          <w:sz w:val="22"/>
          <w:szCs w:val="22"/>
          <w:lang w:bidi="en-US"/>
        </w:rPr>
      </w:pPr>
    </w:p>
    <w:p w14:paraId="782DB958" w14:textId="77777777" w:rsidR="00CE22CB" w:rsidRDefault="00CE22CB" w:rsidP="00CE22CB">
      <w:pPr>
        <w:jc w:val="both"/>
        <w:rPr>
          <w:rFonts w:ascii="Cambria" w:hAnsi="Cambria"/>
          <w:b/>
          <w:bCs/>
          <w:sz w:val="22"/>
          <w:szCs w:val="22"/>
        </w:rPr>
      </w:pPr>
      <w:r w:rsidRPr="00CE22CB">
        <w:rPr>
          <w:rFonts w:ascii="Cambria" w:eastAsia="Times New Roman" w:hAnsi="Cambria" w:cs="Times New Roman"/>
          <w:sz w:val="22"/>
          <w:szCs w:val="22"/>
          <w:lang w:bidi="en-US"/>
        </w:rPr>
        <w:t>The findings of this review highlight that the integration of Artificial Intelligence in higher education is not merely a technical challenge but a pedagogical, ethical, and institutional one. For AI to contribute meaningfully to student learning and institutional goals, adoption must be deliberate, inclusive, and ethically grounded. Several recommendations emerge from the synthesis of global research and Malaysian case studies. Universities must develop clear institutional guidelines that establish boundaries for AI use in teaching, learning, and assessment. These guidelines should cover acceptable levels of student reliance on AI tools, protocols for ensuring academic integrity, and procedures for protecting student data. Policies should emphasize AI as a collaborative instrument that enhances—not replaces—human teaching and learning.</w:t>
      </w:r>
    </w:p>
    <w:p w14:paraId="7CC1A8D4" w14:textId="77777777" w:rsidR="00CE22CB" w:rsidRDefault="00CE22CB" w:rsidP="00CE22CB">
      <w:pPr>
        <w:jc w:val="both"/>
        <w:rPr>
          <w:rFonts w:ascii="Cambria" w:hAnsi="Cambria"/>
          <w:b/>
          <w:bCs/>
          <w:sz w:val="22"/>
          <w:szCs w:val="22"/>
        </w:rPr>
      </w:pPr>
    </w:p>
    <w:p w14:paraId="12E2253C" w14:textId="77777777" w:rsidR="00CE22CB" w:rsidRDefault="00CE22CB" w:rsidP="00CE22CB">
      <w:pPr>
        <w:jc w:val="both"/>
        <w:rPr>
          <w:rFonts w:ascii="Cambria" w:hAnsi="Cambria"/>
          <w:b/>
          <w:bCs/>
          <w:sz w:val="22"/>
          <w:szCs w:val="22"/>
        </w:rPr>
      </w:pPr>
      <w:r w:rsidRPr="00CE22CB">
        <w:rPr>
          <w:rFonts w:ascii="Cambria" w:eastAsia="Times New Roman" w:hAnsi="Cambria" w:cs="Times New Roman"/>
          <w:sz w:val="22"/>
          <w:szCs w:val="22"/>
          <w:lang w:bidi="en-US"/>
        </w:rPr>
        <w:t>Professional development for faculty is essential. Without adequate training, educators may either misuse AI or resist its adoption altogether. Structured programs should focus not only on the technical skills of using AI platforms but also on the pedagogical strategies necessary for meaningful integration. Training in “prompt literacy” equips instructors with the capacity to guide students in engaging critically with generative AI outputs. Communities of practice within institutions could further encourage knowledge sharing and reduce anxieties among faculty.</w:t>
      </w:r>
    </w:p>
    <w:p w14:paraId="0DFC2AA8" w14:textId="77777777" w:rsidR="00CE22CB" w:rsidRDefault="00CE22CB" w:rsidP="00CE22CB">
      <w:pPr>
        <w:jc w:val="both"/>
        <w:rPr>
          <w:rFonts w:ascii="Cambria" w:hAnsi="Cambria"/>
          <w:b/>
          <w:bCs/>
          <w:sz w:val="22"/>
          <w:szCs w:val="22"/>
        </w:rPr>
      </w:pPr>
    </w:p>
    <w:p w14:paraId="63573F3A" w14:textId="77777777" w:rsidR="00CE22CB" w:rsidRDefault="00CE22CB" w:rsidP="00CE22CB">
      <w:pPr>
        <w:jc w:val="both"/>
        <w:rPr>
          <w:rFonts w:ascii="Cambria" w:hAnsi="Cambria"/>
          <w:b/>
          <w:bCs/>
          <w:sz w:val="22"/>
          <w:szCs w:val="22"/>
        </w:rPr>
      </w:pPr>
      <w:r w:rsidRPr="00CE22CB">
        <w:rPr>
          <w:rFonts w:ascii="Cambria" w:eastAsia="Times New Roman" w:hAnsi="Cambria" w:cs="Times New Roman"/>
          <w:sz w:val="22"/>
          <w:szCs w:val="22"/>
          <w:lang w:bidi="en-US"/>
        </w:rPr>
        <w:t>Higher education must also undertake assessment redesign to preserve academic integrity in an AI-saturated environment. Rather than relying exclusively on traditional essays or examinations, universities should incorporate a greater mix of oral presentations, collaborative projects, reflective writing, and process-based assessments. Malaysian case studies demonstrate that when students are required to critically evaluate AI-generated outputs and contextualize them within disciplinary frameworks, the risk of plagiarism is diminished while higher-order thinking is encouraged.</w:t>
      </w:r>
    </w:p>
    <w:p w14:paraId="10A19CE1" w14:textId="77777777" w:rsidR="00CE22CB" w:rsidRDefault="00CE22CB" w:rsidP="00CE22CB">
      <w:pPr>
        <w:jc w:val="both"/>
        <w:rPr>
          <w:rFonts w:ascii="Cambria" w:hAnsi="Cambria"/>
          <w:b/>
          <w:bCs/>
          <w:sz w:val="22"/>
          <w:szCs w:val="22"/>
        </w:rPr>
      </w:pPr>
    </w:p>
    <w:p w14:paraId="666423BF" w14:textId="77777777" w:rsidR="00CE22CB" w:rsidRDefault="00CE22CB" w:rsidP="00CE22CB">
      <w:pPr>
        <w:jc w:val="both"/>
        <w:rPr>
          <w:rFonts w:ascii="Cambria" w:hAnsi="Cambria"/>
          <w:b/>
          <w:bCs/>
          <w:sz w:val="22"/>
          <w:szCs w:val="22"/>
        </w:rPr>
      </w:pPr>
      <w:r w:rsidRPr="00CE22CB">
        <w:rPr>
          <w:rFonts w:ascii="Cambria" w:eastAsia="Times New Roman" w:hAnsi="Cambria" w:cs="Times New Roman"/>
          <w:sz w:val="22"/>
          <w:szCs w:val="22"/>
          <w:lang w:bidi="en-US"/>
        </w:rPr>
        <w:t>Policy interventions must also address the equity implications of AI adoption. The digital divide remains a pressing concern, particularly in rural Malaysia, where access to broadband and devices is inconsistent. National-level strategies should prioritize investment in digital infrastructure, subsidized access to AI tools, and initiatives that build digital literacy across socio-economic groups. At the institutional level, universities should ensure that AI adoption does not disadvantage students with limited access to technology.</w:t>
      </w:r>
    </w:p>
    <w:p w14:paraId="14EE4091" w14:textId="77777777" w:rsidR="00CE22CB" w:rsidRDefault="00CE22CB" w:rsidP="00CE22CB">
      <w:pPr>
        <w:jc w:val="both"/>
        <w:rPr>
          <w:rFonts w:ascii="Cambria" w:hAnsi="Cambria"/>
          <w:b/>
          <w:bCs/>
          <w:sz w:val="22"/>
          <w:szCs w:val="22"/>
        </w:rPr>
      </w:pPr>
    </w:p>
    <w:p w14:paraId="55F3B2E2" w14:textId="315926D6" w:rsidR="00342B39" w:rsidRDefault="00CE22CB" w:rsidP="006B0B96">
      <w:pPr>
        <w:jc w:val="both"/>
        <w:rPr>
          <w:rFonts w:ascii="Cambria" w:hAnsi="Cambria"/>
          <w:b/>
          <w:bCs/>
          <w:sz w:val="22"/>
          <w:szCs w:val="22"/>
        </w:rPr>
      </w:pPr>
      <w:r w:rsidRPr="00CE22CB">
        <w:rPr>
          <w:rFonts w:ascii="Cambria" w:eastAsia="Times New Roman" w:hAnsi="Cambria" w:cs="Times New Roman"/>
          <w:sz w:val="22"/>
          <w:szCs w:val="22"/>
          <w:lang w:bidi="en-US"/>
        </w:rPr>
        <w:t>Finally, AI adoption must be framed within a human-</w:t>
      </w:r>
      <w:proofErr w:type="spellStart"/>
      <w:r w:rsidRPr="00CE22CB">
        <w:rPr>
          <w:rFonts w:ascii="Cambria" w:eastAsia="Times New Roman" w:hAnsi="Cambria" w:cs="Times New Roman"/>
          <w:sz w:val="22"/>
          <w:szCs w:val="22"/>
          <w:lang w:bidi="en-US"/>
        </w:rPr>
        <w:t>centered</w:t>
      </w:r>
      <w:proofErr w:type="spellEnd"/>
      <w:r w:rsidRPr="00CE22CB">
        <w:rPr>
          <w:rFonts w:ascii="Cambria" w:eastAsia="Times New Roman" w:hAnsi="Cambria" w:cs="Times New Roman"/>
          <w:sz w:val="22"/>
          <w:szCs w:val="22"/>
          <w:lang w:bidi="en-US"/>
        </w:rPr>
        <w:t xml:space="preserve"> and ethical paradigm. This requires universities to demand transparency from AI vendors regarding how algorithms operate, as well as mechanisms to identify and correct bias in datasets. Ethical oversight committees could play a role in evaluating AI tools before they are deployed in classrooms. Moreover, attention should be paid to student well-being: policies must ensure that AI does not encourage cognitive offloading </w:t>
      </w:r>
      <w:r w:rsidRPr="00CE22CB">
        <w:rPr>
          <w:rFonts w:ascii="Cambria" w:eastAsia="Times New Roman" w:hAnsi="Cambria" w:cs="Times New Roman"/>
          <w:sz w:val="22"/>
          <w:szCs w:val="22"/>
          <w:lang w:bidi="en-US"/>
        </w:rPr>
        <w:lastRenderedPageBreak/>
        <w:t>or diminish opportunities for interpersonal interaction, which remain central to holistic education.</w:t>
      </w:r>
    </w:p>
    <w:p w14:paraId="0F9723FA" w14:textId="77777777" w:rsidR="006B0B96" w:rsidRDefault="006B0B96" w:rsidP="006B0B96">
      <w:pPr>
        <w:jc w:val="both"/>
        <w:rPr>
          <w:rFonts w:ascii="Cambria" w:hAnsi="Cambria"/>
          <w:b/>
          <w:bCs/>
          <w:sz w:val="22"/>
          <w:szCs w:val="22"/>
        </w:rPr>
      </w:pPr>
    </w:p>
    <w:p w14:paraId="0EA73E85" w14:textId="77777777" w:rsidR="006B0B96" w:rsidRDefault="006B0B96" w:rsidP="006B0B96">
      <w:pPr>
        <w:jc w:val="both"/>
        <w:rPr>
          <w:rFonts w:ascii="Cambria" w:hAnsi="Cambria"/>
          <w:b/>
          <w:bCs/>
          <w:sz w:val="22"/>
          <w:szCs w:val="22"/>
        </w:rPr>
      </w:pPr>
    </w:p>
    <w:p w14:paraId="043E23EC" w14:textId="284B41EE" w:rsidR="006B0B96" w:rsidRPr="006B0B96" w:rsidRDefault="006B0B96" w:rsidP="006B0B96">
      <w:pPr>
        <w:pStyle w:val="ListParagraph"/>
        <w:numPr>
          <w:ilvl w:val="0"/>
          <w:numId w:val="2"/>
        </w:numPr>
        <w:ind w:left="630" w:hanging="630"/>
        <w:jc w:val="both"/>
        <w:rPr>
          <w:rFonts w:ascii="Cambria" w:eastAsia="Times New Roman" w:hAnsi="Cambria" w:cs="Times New Roman"/>
          <w:b/>
          <w:bCs/>
          <w:sz w:val="22"/>
          <w:szCs w:val="22"/>
          <w:lang w:bidi="en-US"/>
        </w:rPr>
      </w:pPr>
      <w:r w:rsidRPr="006B0B96">
        <w:rPr>
          <w:rFonts w:ascii="Cambria" w:eastAsia="Times New Roman" w:hAnsi="Cambria" w:cs="Times New Roman"/>
          <w:b/>
          <w:bCs/>
          <w:sz w:val="22"/>
          <w:szCs w:val="22"/>
          <w:lang w:bidi="en-US"/>
        </w:rPr>
        <w:t>CONCLUSION</w:t>
      </w:r>
    </w:p>
    <w:p w14:paraId="32D5DE22" w14:textId="77777777" w:rsidR="006B0B96" w:rsidRDefault="006B0B96" w:rsidP="006B0B96">
      <w:pPr>
        <w:jc w:val="both"/>
        <w:rPr>
          <w:rFonts w:ascii="Cambria" w:eastAsia="Times New Roman" w:hAnsi="Cambria" w:cs="Times New Roman"/>
          <w:b/>
          <w:bCs/>
          <w:sz w:val="22"/>
          <w:szCs w:val="22"/>
          <w:lang w:bidi="en-US"/>
        </w:rPr>
      </w:pPr>
    </w:p>
    <w:p w14:paraId="01796411" w14:textId="4F7ABDF2" w:rsidR="006B0B96" w:rsidRDefault="006B0B96" w:rsidP="006B0B96">
      <w:pPr>
        <w:jc w:val="both"/>
        <w:rPr>
          <w:rFonts w:ascii="Cambria" w:eastAsia="Times New Roman" w:hAnsi="Cambria" w:cs="Times New Roman"/>
          <w:sz w:val="22"/>
          <w:szCs w:val="22"/>
          <w:lang w:bidi="en-US"/>
        </w:rPr>
      </w:pPr>
      <w:r w:rsidRPr="006B0B96">
        <w:rPr>
          <w:rFonts w:ascii="Cambria" w:eastAsia="Times New Roman" w:hAnsi="Cambria" w:cs="Times New Roman"/>
          <w:sz w:val="22"/>
          <w:szCs w:val="22"/>
          <w:lang w:bidi="en-US"/>
        </w:rPr>
        <w:t>Artificial Intelligence represents both a transformative opportunity and a profound challenge for higher education. The evidence reviewed in this article indicates that AI has already reshaped pedagogical practice by enabling personalized and adaptive learning, reducing administrative burdens through automation, and introducing novel teaching strategies through generative and immersive technologies. Malaysian universities mirror global patterns: efficiency gains and student engagement are notable where AI tools are adopted, but persistent challenges such as faculty readiness, ethical dilemmas, and inequitable access complicate progress.</w:t>
      </w:r>
    </w:p>
    <w:p w14:paraId="5BC00CBE" w14:textId="77777777" w:rsidR="006B0B96" w:rsidRPr="006B0B96" w:rsidRDefault="006B0B96" w:rsidP="006B0B96">
      <w:pPr>
        <w:jc w:val="both"/>
        <w:rPr>
          <w:rFonts w:ascii="Cambria" w:eastAsia="Times New Roman" w:hAnsi="Cambria" w:cs="Times New Roman"/>
          <w:b/>
          <w:bCs/>
          <w:sz w:val="22"/>
          <w:szCs w:val="22"/>
          <w:lang w:bidi="en-US"/>
        </w:rPr>
      </w:pPr>
    </w:p>
    <w:p w14:paraId="290097C6" w14:textId="77777777" w:rsidR="006B0B96" w:rsidRDefault="006B0B96" w:rsidP="006B0B96">
      <w:pPr>
        <w:jc w:val="both"/>
        <w:rPr>
          <w:rFonts w:ascii="Cambria" w:eastAsia="Times New Roman" w:hAnsi="Cambria" w:cs="Times New Roman"/>
          <w:sz w:val="22"/>
          <w:szCs w:val="22"/>
          <w:lang w:bidi="en-US"/>
        </w:rPr>
      </w:pPr>
      <w:r w:rsidRPr="006B0B96">
        <w:rPr>
          <w:rFonts w:ascii="Cambria" w:eastAsia="Times New Roman" w:hAnsi="Cambria" w:cs="Times New Roman"/>
          <w:sz w:val="22"/>
          <w:szCs w:val="22"/>
          <w:lang w:bidi="en-US"/>
        </w:rPr>
        <w:t>At the same time, the risks associated with AI are neither marginal nor easily resolved. Issues of transparency, data privacy, algorithmic bias, and academic integrity demand urgent attention. Equally, the uneven distribution of resources highlights the danger of AI widening educational inequalities rather than alleviating them. For faculty, uncertainty about pedagogical implications underscores the importance of comprehensive training and institutional support.</w:t>
      </w:r>
    </w:p>
    <w:p w14:paraId="666BD321" w14:textId="77777777" w:rsidR="006B0B96" w:rsidRPr="006B0B96" w:rsidRDefault="006B0B96" w:rsidP="006B0B96">
      <w:pPr>
        <w:jc w:val="both"/>
        <w:rPr>
          <w:rFonts w:ascii="Cambria" w:eastAsia="Times New Roman" w:hAnsi="Cambria" w:cs="Times New Roman"/>
          <w:sz w:val="22"/>
          <w:szCs w:val="22"/>
          <w:lang w:bidi="en-US"/>
        </w:rPr>
      </w:pPr>
    </w:p>
    <w:p w14:paraId="16CB583B" w14:textId="77777777" w:rsidR="006B0B96" w:rsidRPr="006B0B96" w:rsidRDefault="006B0B96" w:rsidP="006B0B96">
      <w:pPr>
        <w:jc w:val="both"/>
        <w:rPr>
          <w:rFonts w:ascii="Cambria" w:eastAsia="Times New Roman" w:hAnsi="Cambria" w:cs="Times New Roman"/>
          <w:sz w:val="22"/>
          <w:szCs w:val="22"/>
          <w:lang w:bidi="en-US"/>
        </w:rPr>
      </w:pPr>
      <w:r w:rsidRPr="006B0B96">
        <w:rPr>
          <w:rFonts w:ascii="Cambria" w:eastAsia="Times New Roman" w:hAnsi="Cambria" w:cs="Times New Roman"/>
          <w:sz w:val="22"/>
          <w:szCs w:val="22"/>
          <w:lang w:bidi="en-US"/>
        </w:rPr>
        <w:t>The central message of this review is that the transformative potential of AI in higher education depends on careful, balanced, and ethical implementation. AI must be positioned not as a replacement for human educators but as a partner that supports and enhances the educational mission of universities. To achieve this, institutions must invest in guidelines, training, and infrastructure while fostering a culture of reflection and continuous evaluation. If pursued thoughtfully, AI can strengthen the values of higher education, of critical thinking, creativity, inclusivity, and human development is while equipping students for an AI-driven world.</w:t>
      </w:r>
    </w:p>
    <w:p w14:paraId="608FF571" w14:textId="77777777" w:rsidR="006B0B96" w:rsidRPr="006B0B96" w:rsidRDefault="006B0B96" w:rsidP="006B0B96">
      <w:pPr>
        <w:jc w:val="both"/>
        <w:rPr>
          <w:rFonts w:ascii="Cambria" w:hAnsi="Cambria"/>
          <w:b/>
          <w:bCs/>
          <w:sz w:val="22"/>
          <w:szCs w:val="22"/>
        </w:rPr>
      </w:pPr>
    </w:p>
    <w:p w14:paraId="012259DA" w14:textId="77777777" w:rsidR="008107EB" w:rsidRPr="005D2DE5" w:rsidRDefault="008107EB" w:rsidP="00342B39">
      <w:pPr>
        <w:rPr>
          <w:rFonts w:ascii="Cambria" w:hAnsi="Cambria"/>
        </w:rPr>
      </w:pPr>
    </w:p>
    <w:p w14:paraId="4A8FE769" w14:textId="243B910E" w:rsidR="00C503B0" w:rsidRDefault="00342B39" w:rsidP="00F068AF">
      <w:pPr>
        <w:ind w:left="567" w:hanging="567"/>
        <w:outlineLvl w:val="0"/>
        <w:rPr>
          <w:rFonts w:ascii="Cambria" w:eastAsia="Times New Roman" w:hAnsi="Cambria" w:cs="Times New Roman"/>
          <w:b/>
          <w:bCs/>
          <w:color w:val="000000"/>
          <w:kern w:val="36"/>
          <w:sz w:val="22"/>
          <w:szCs w:val="22"/>
          <w:lang w:eastAsia="en-GB"/>
        </w:rPr>
      </w:pPr>
      <w:r w:rsidRPr="00342B39">
        <w:rPr>
          <w:rFonts w:ascii="Cambria" w:eastAsia="Times New Roman" w:hAnsi="Cambria" w:cs="Times New Roman"/>
          <w:b/>
          <w:bCs/>
          <w:color w:val="000000"/>
          <w:kern w:val="36"/>
          <w:sz w:val="22"/>
          <w:szCs w:val="22"/>
          <w:lang w:eastAsia="en-GB"/>
        </w:rPr>
        <w:t>REFERENCES</w:t>
      </w:r>
    </w:p>
    <w:p w14:paraId="1FF08B7B" w14:textId="77777777" w:rsidR="00F068AF" w:rsidRDefault="00F068AF" w:rsidP="00F068AF">
      <w:pPr>
        <w:jc w:val="both"/>
        <w:rPr>
          <w:rFonts w:ascii="Cambria" w:eastAsia="Times New Roman" w:hAnsi="Cambria" w:cs="Times New Roman"/>
          <w:sz w:val="22"/>
          <w:szCs w:val="22"/>
          <w:lang w:bidi="en-US"/>
        </w:rPr>
      </w:pPr>
    </w:p>
    <w:p w14:paraId="346AC43C" w14:textId="5A6997C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Aoun, J. E. (2020). Robot-proof: Higher education in the age of artificial intelligence. MIT Press.</w:t>
      </w:r>
    </w:p>
    <w:p w14:paraId="7EF70377"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54CEBFB" w14:textId="77777777" w:rsidR="00C503B0" w:rsidRPr="00C503B0" w:rsidRDefault="00C503B0" w:rsidP="00935AE3">
      <w:pPr>
        <w:ind w:left="720" w:hanging="720"/>
        <w:jc w:val="both"/>
        <w:rPr>
          <w:rFonts w:ascii="Cambria" w:eastAsia="Times New Roman" w:hAnsi="Cambria" w:cs="Times New Roman"/>
          <w:sz w:val="22"/>
          <w:szCs w:val="22"/>
          <w:lang w:bidi="en-US"/>
        </w:rPr>
      </w:pPr>
      <w:proofErr w:type="spellStart"/>
      <w:r w:rsidRPr="00C503B0">
        <w:rPr>
          <w:rFonts w:ascii="Cambria" w:eastAsia="Times New Roman" w:hAnsi="Cambria" w:cs="Times New Roman"/>
          <w:sz w:val="22"/>
          <w:szCs w:val="22"/>
          <w:lang w:bidi="en-US"/>
        </w:rPr>
        <w:t>Belkina</w:t>
      </w:r>
      <w:proofErr w:type="spellEnd"/>
      <w:r w:rsidRPr="00C503B0">
        <w:rPr>
          <w:rFonts w:ascii="Cambria" w:eastAsia="Times New Roman" w:hAnsi="Cambria" w:cs="Times New Roman"/>
          <w:sz w:val="22"/>
          <w:szCs w:val="22"/>
          <w:lang w:bidi="en-US"/>
        </w:rPr>
        <w:t>, M., Daniel, S., Nikolic, S., Haque, R., Lyden, S., Neal, P., Grundy, S., &amp; Hassan, G. M. (2025). Computers &amp; Education: Artificial Intelligence, 8, 1–15.</w:t>
      </w:r>
    </w:p>
    <w:p w14:paraId="5305F0D9" w14:textId="77777777" w:rsidR="00C503B0" w:rsidRPr="00C503B0" w:rsidRDefault="00C503B0" w:rsidP="00C503B0">
      <w:pPr>
        <w:jc w:val="both"/>
        <w:rPr>
          <w:rFonts w:ascii="Cambria" w:eastAsia="Times New Roman" w:hAnsi="Cambria" w:cs="Times New Roman"/>
          <w:sz w:val="22"/>
          <w:szCs w:val="22"/>
          <w:lang w:bidi="en-US"/>
        </w:rPr>
      </w:pPr>
    </w:p>
    <w:p w14:paraId="25F5878E"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Chen, X., Zou, D., Cheng, G., &amp; Xie, H. (2020). Detecting latent topics and trends in educational technologies over four decades using structural topic </w:t>
      </w:r>
      <w:proofErr w:type="spellStart"/>
      <w:r w:rsidRPr="00C503B0">
        <w:rPr>
          <w:rFonts w:ascii="Cambria" w:eastAsia="Times New Roman" w:hAnsi="Cambria" w:cs="Times New Roman"/>
          <w:sz w:val="22"/>
          <w:szCs w:val="22"/>
          <w:lang w:bidi="en-US"/>
        </w:rPr>
        <w:t>modeling</w:t>
      </w:r>
      <w:proofErr w:type="spellEnd"/>
      <w:r w:rsidRPr="00C503B0">
        <w:rPr>
          <w:rFonts w:ascii="Cambria" w:eastAsia="Times New Roman" w:hAnsi="Cambria" w:cs="Times New Roman"/>
          <w:sz w:val="22"/>
          <w:szCs w:val="22"/>
          <w:lang w:bidi="en-US"/>
        </w:rPr>
        <w:t xml:space="preserve">. Computers &amp; Education, 151, 103855. </w:t>
      </w:r>
      <w:hyperlink r:id="rId7" w:history="1">
        <w:r w:rsidRPr="00C503B0">
          <w:rPr>
            <w:rFonts w:ascii="Cambria" w:eastAsia="Times New Roman" w:hAnsi="Cambria" w:cs="Times New Roman"/>
            <w:color w:val="0000FF"/>
            <w:sz w:val="22"/>
            <w:szCs w:val="22"/>
            <w:u w:val="single"/>
            <w:lang w:bidi="en-US"/>
          </w:rPr>
          <w:t>https://doi.org/10.1016/j.compedu.2020.103855</w:t>
        </w:r>
      </w:hyperlink>
    </w:p>
    <w:p w14:paraId="575E1A71"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5029424F"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Cotton, D.R., Cotton, P.A., &amp; Shipway, J.R. (2024). Innovations in Education and Teaching International, 61, 228–239.</w:t>
      </w:r>
    </w:p>
    <w:p w14:paraId="59E1A1B2"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40051111"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Dumitru, C., Hayes, S., &amp; </w:t>
      </w:r>
      <w:proofErr w:type="spellStart"/>
      <w:r w:rsidRPr="00C503B0">
        <w:rPr>
          <w:rFonts w:ascii="Cambria" w:eastAsia="Times New Roman" w:hAnsi="Cambria" w:cs="Times New Roman"/>
          <w:sz w:val="22"/>
          <w:szCs w:val="22"/>
          <w:lang w:bidi="en-US"/>
        </w:rPr>
        <w:t>Cukurova</w:t>
      </w:r>
      <w:proofErr w:type="spellEnd"/>
      <w:r w:rsidRPr="00C503B0">
        <w:rPr>
          <w:rFonts w:ascii="Cambria" w:eastAsia="Times New Roman" w:hAnsi="Cambria" w:cs="Times New Roman"/>
          <w:sz w:val="22"/>
          <w:szCs w:val="22"/>
          <w:lang w:bidi="en-US"/>
        </w:rPr>
        <w:t xml:space="preserve">, M. (2025). Integrating AI and assistive technologies for students with disabilities in higher education: A review. Journal of Special Education Technology, 40(1), 55–71. </w:t>
      </w:r>
      <w:hyperlink r:id="rId8" w:history="1">
        <w:r w:rsidRPr="00C503B0">
          <w:rPr>
            <w:rFonts w:ascii="Cambria" w:eastAsia="Times New Roman" w:hAnsi="Cambria" w:cs="Times New Roman"/>
            <w:color w:val="0000FF"/>
            <w:sz w:val="22"/>
            <w:szCs w:val="22"/>
            <w:u w:val="single"/>
            <w:lang w:bidi="en-US"/>
          </w:rPr>
          <w:t>https://doi.org/10.1177/10554181251355428</w:t>
        </w:r>
      </w:hyperlink>
    </w:p>
    <w:p w14:paraId="1D6C8621"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762685E"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Dwivedi, Y. K., et al. (2021). Artificial Intelligence (AI): Multidisciplinary perspectives on emerging challenges, opportunities, and agenda for research, practice, and policy. International Journal of Information Management, 57, 101994. </w:t>
      </w:r>
      <w:hyperlink r:id="rId9" w:history="1">
        <w:r w:rsidRPr="00C503B0">
          <w:rPr>
            <w:rFonts w:ascii="Cambria" w:eastAsia="Times New Roman" w:hAnsi="Cambria" w:cs="Times New Roman"/>
            <w:color w:val="0000FF"/>
            <w:sz w:val="22"/>
            <w:szCs w:val="22"/>
            <w:u w:val="single"/>
            <w:lang w:bidi="en-US"/>
          </w:rPr>
          <w:t>https://doi.org/10.1016/j.ijinfomgt.2019.08.002</w:t>
        </w:r>
      </w:hyperlink>
    </w:p>
    <w:p w14:paraId="454AC9D2"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12D57CD"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lastRenderedPageBreak/>
        <w:t xml:space="preserve">Hemminki-Reijonen, U., Hassan, N. M. A. M., Huotilainen, M., Koivisto, J.-M., &amp; Cowley, B. U. (2025). Design of generative AI-powered pedagogy for virtual reality environments in higher education. </w:t>
      </w:r>
      <w:proofErr w:type="spellStart"/>
      <w:r w:rsidRPr="00C503B0">
        <w:rPr>
          <w:rFonts w:ascii="Cambria" w:eastAsia="Times New Roman" w:hAnsi="Cambria" w:cs="Times New Roman"/>
          <w:sz w:val="22"/>
          <w:szCs w:val="22"/>
          <w:lang w:bidi="en-US"/>
        </w:rPr>
        <w:t>npj</w:t>
      </w:r>
      <w:proofErr w:type="spellEnd"/>
      <w:r w:rsidRPr="00C503B0">
        <w:rPr>
          <w:rFonts w:ascii="Cambria" w:eastAsia="Times New Roman" w:hAnsi="Cambria" w:cs="Times New Roman"/>
          <w:sz w:val="22"/>
          <w:szCs w:val="22"/>
          <w:lang w:bidi="en-US"/>
        </w:rPr>
        <w:t xml:space="preserve"> Science of Learning, 10(1), 1–14. </w:t>
      </w:r>
      <w:hyperlink r:id="rId10" w:history="1">
        <w:r w:rsidRPr="00C503B0">
          <w:rPr>
            <w:rFonts w:ascii="Cambria" w:eastAsia="Times New Roman" w:hAnsi="Cambria" w:cs="Times New Roman"/>
            <w:color w:val="0000FF"/>
            <w:sz w:val="22"/>
            <w:szCs w:val="22"/>
            <w:u w:val="single"/>
            <w:lang w:bidi="en-US"/>
          </w:rPr>
          <w:t>https://doi.org/10.1038/s41539-025-00326-1</w:t>
        </w:r>
      </w:hyperlink>
    </w:p>
    <w:p w14:paraId="238E3D80"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22DA0BCD"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Jobin, A., Ienca, M., &amp; </w:t>
      </w:r>
      <w:proofErr w:type="spellStart"/>
      <w:r w:rsidRPr="00C503B0">
        <w:rPr>
          <w:rFonts w:ascii="Cambria" w:eastAsia="Times New Roman" w:hAnsi="Cambria" w:cs="Times New Roman"/>
          <w:sz w:val="22"/>
          <w:szCs w:val="22"/>
          <w:lang w:bidi="en-US"/>
        </w:rPr>
        <w:t>Vayena</w:t>
      </w:r>
      <w:proofErr w:type="spellEnd"/>
      <w:r w:rsidRPr="00C503B0">
        <w:rPr>
          <w:rFonts w:ascii="Cambria" w:eastAsia="Times New Roman" w:hAnsi="Cambria" w:cs="Times New Roman"/>
          <w:sz w:val="22"/>
          <w:szCs w:val="22"/>
          <w:lang w:bidi="en-US"/>
        </w:rPr>
        <w:t xml:space="preserve">, E. (2019). The global landscape of AI ethics guidelines. Nature Machine Intelligence, 1(9), 389–399. </w:t>
      </w:r>
      <w:hyperlink r:id="rId11" w:history="1">
        <w:r w:rsidRPr="00C503B0">
          <w:rPr>
            <w:rFonts w:ascii="Cambria" w:eastAsia="Times New Roman" w:hAnsi="Cambria" w:cs="Times New Roman"/>
            <w:color w:val="0000FF"/>
            <w:sz w:val="22"/>
            <w:szCs w:val="22"/>
            <w:u w:val="single"/>
            <w:lang w:bidi="en-US"/>
          </w:rPr>
          <w:t>https://doi.org/10.1038/s42256-019-0088-2</w:t>
        </w:r>
      </w:hyperlink>
    </w:p>
    <w:p w14:paraId="22038912"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7CAE49F5"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Klimova, B., Kuca, K., &amp; </w:t>
      </w:r>
      <w:proofErr w:type="spellStart"/>
      <w:r w:rsidRPr="00C503B0">
        <w:rPr>
          <w:rFonts w:ascii="Cambria" w:eastAsia="Times New Roman" w:hAnsi="Cambria" w:cs="Times New Roman"/>
          <w:sz w:val="22"/>
          <w:szCs w:val="22"/>
          <w:lang w:bidi="en-US"/>
        </w:rPr>
        <w:t>Maresova</w:t>
      </w:r>
      <w:proofErr w:type="spellEnd"/>
      <w:r w:rsidRPr="00C503B0">
        <w:rPr>
          <w:rFonts w:ascii="Cambria" w:eastAsia="Times New Roman" w:hAnsi="Cambria" w:cs="Times New Roman"/>
          <w:sz w:val="22"/>
          <w:szCs w:val="22"/>
          <w:lang w:bidi="en-US"/>
        </w:rPr>
        <w:t xml:space="preserve">, P. (2025). Exploring the effects of AI tools on student well-being in higher education: A mini-review. Frontiers in Psychology, 16, 11830699. </w:t>
      </w:r>
      <w:hyperlink r:id="rId12" w:history="1">
        <w:r w:rsidRPr="00C503B0">
          <w:rPr>
            <w:rFonts w:ascii="Cambria" w:eastAsia="Times New Roman" w:hAnsi="Cambria" w:cs="Times New Roman"/>
            <w:color w:val="0000FF"/>
            <w:sz w:val="22"/>
            <w:szCs w:val="22"/>
            <w:u w:val="single"/>
            <w:lang w:bidi="en-US"/>
          </w:rPr>
          <w:t>https://doi.org/10.3389/fpsyg.2025.11830699</w:t>
        </w:r>
      </w:hyperlink>
    </w:p>
    <w:p w14:paraId="455834B7"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3EB1BEE"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Luo, J., Zheng, C., Yin, J., &amp; Teo, H. H. (2025). Design and assessment of AI-based learning tools in higher education: A systematic review. International Journal of Educational Technology in Higher Education, 22(7), 1–24. </w:t>
      </w:r>
      <w:hyperlink r:id="rId13" w:history="1">
        <w:r w:rsidRPr="00C503B0">
          <w:rPr>
            <w:rFonts w:ascii="Cambria" w:eastAsia="Times New Roman" w:hAnsi="Cambria" w:cs="Times New Roman"/>
            <w:color w:val="0000FF"/>
            <w:sz w:val="22"/>
            <w:szCs w:val="22"/>
            <w:u w:val="single"/>
            <w:lang w:bidi="en-US"/>
          </w:rPr>
          <w:t>https://doi.org/10.1186/s41239-025-00540-2</w:t>
        </w:r>
      </w:hyperlink>
    </w:p>
    <w:p w14:paraId="4D9B764A"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015E63F" w14:textId="77777777" w:rsidR="00C503B0" w:rsidRPr="00C503B0" w:rsidRDefault="00C503B0" w:rsidP="00935AE3">
      <w:pPr>
        <w:ind w:left="720" w:hanging="720"/>
        <w:jc w:val="both"/>
        <w:rPr>
          <w:rFonts w:ascii="Cambria" w:eastAsia="Times New Roman" w:hAnsi="Cambria" w:cs="Times New Roman"/>
          <w:sz w:val="22"/>
          <w:szCs w:val="22"/>
          <w:lang w:bidi="en-US"/>
        </w:rPr>
      </w:pPr>
      <w:proofErr w:type="spellStart"/>
      <w:r w:rsidRPr="00C503B0">
        <w:rPr>
          <w:rFonts w:ascii="Cambria" w:eastAsia="Times New Roman" w:hAnsi="Cambria" w:cs="Times New Roman"/>
          <w:sz w:val="22"/>
          <w:szCs w:val="22"/>
          <w:lang w:bidi="en-US"/>
        </w:rPr>
        <w:t>Nkambou</w:t>
      </w:r>
      <w:proofErr w:type="spellEnd"/>
      <w:r w:rsidRPr="00C503B0">
        <w:rPr>
          <w:rFonts w:ascii="Cambria" w:eastAsia="Times New Roman" w:hAnsi="Cambria" w:cs="Times New Roman"/>
          <w:sz w:val="22"/>
          <w:szCs w:val="22"/>
          <w:lang w:bidi="en-US"/>
        </w:rPr>
        <w:t>, R., Bourdeau, J., &amp; Mizoguchi, R. (2022). Advances in intelligent tutoring systems. Springer.</w:t>
      </w:r>
    </w:p>
    <w:p w14:paraId="432EF845"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7BF752CB"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Qian, Y., Gao, F. &amp; Chen, B. (2025). Pedagogical applications of generative AI in higher education: A systematic literature review. </w:t>
      </w:r>
      <w:proofErr w:type="spellStart"/>
      <w:r w:rsidRPr="00C503B0">
        <w:rPr>
          <w:rFonts w:ascii="Cambria" w:eastAsia="Times New Roman" w:hAnsi="Cambria" w:cs="Times New Roman"/>
          <w:sz w:val="22"/>
          <w:szCs w:val="22"/>
          <w:lang w:bidi="en-US"/>
        </w:rPr>
        <w:t>TechTrends</w:t>
      </w:r>
      <w:proofErr w:type="spellEnd"/>
      <w:r w:rsidRPr="00C503B0">
        <w:rPr>
          <w:rFonts w:ascii="Cambria" w:eastAsia="Times New Roman" w:hAnsi="Cambria" w:cs="Times New Roman"/>
          <w:sz w:val="22"/>
          <w:szCs w:val="22"/>
          <w:lang w:bidi="en-US"/>
        </w:rPr>
        <w:t xml:space="preserve">, 69(2), 130–148. </w:t>
      </w:r>
      <w:hyperlink r:id="rId14" w:history="1">
        <w:r w:rsidRPr="00C503B0">
          <w:rPr>
            <w:rFonts w:ascii="Cambria" w:eastAsia="Times New Roman" w:hAnsi="Cambria" w:cs="Times New Roman"/>
            <w:color w:val="0000FF"/>
            <w:sz w:val="22"/>
            <w:szCs w:val="22"/>
            <w:u w:val="single"/>
            <w:lang w:bidi="en-US"/>
          </w:rPr>
          <w:t>https://doi.org/10.1007/s11528-025-01100-1</w:t>
        </w:r>
      </w:hyperlink>
    </w:p>
    <w:p w14:paraId="5A302CE1"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0536ACC0"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Tan, L. Y., Wong, K. Y. &amp; Lim, S. (2025). Artificial intelligence-enabled adaptive learning platforms: A systematic review. Discover Education, 4(1), 16–31. </w:t>
      </w:r>
      <w:hyperlink r:id="rId15" w:history="1">
        <w:r w:rsidRPr="00C503B0">
          <w:rPr>
            <w:rFonts w:ascii="Cambria" w:eastAsia="Times New Roman" w:hAnsi="Cambria" w:cs="Times New Roman"/>
            <w:color w:val="0000FF"/>
            <w:sz w:val="22"/>
            <w:szCs w:val="22"/>
            <w:u w:val="single"/>
            <w:lang w:bidi="en-US"/>
          </w:rPr>
          <w:t>https://doi.org/10.1016/j.discedu.2025.100266</w:t>
        </w:r>
      </w:hyperlink>
    </w:p>
    <w:p w14:paraId="1D8E02A4"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C080C97"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UNESCO. (2023). AI and education: Guidance for policy-makers. UNESCO Publishing. </w:t>
      </w:r>
      <w:hyperlink r:id="rId16" w:history="1">
        <w:r w:rsidRPr="00C503B0">
          <w:rPr>
            <w:rFonts w:ascii="Cambria" w:eastAsia="Times New Roman" w:hAnsi="Cambria" w:cs="Times New Roman"/>
            <w:color w:val="0000FF"/>
            <w:sz w:val="22"/>
            <w:szCs w:val="22"/>
            <w:u w:val="single"/>
            <w:lang w:bidi="en-US"/>
          </w:rPr>
          <w:t>https://unesdoc.unesco.org/ark:/48223/pf0000386515</w:t>
        </w:r>
      </w:hyperlink>
    </w:p>
    <w:p w14:paraId="0BD7F3D8"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76B26A06"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 xml:space="preserve">Universiti </w:t>
      </w:r>
      <w:proofErr w:type="spellStart"/>
      <w:r w:rsidRPr="00C503B0">
        <w:rPr>
          <w:rFonts w:ascii="Cambria" w:eastAsia="Times New Roman" w:hAnsi="Cambria" w:cs="Times New Roman"/>
          <w:sz w:val="22"/>
          <w:szCs w:val="22"/>
          <w:lang w:bidi="en-US"/>
        </w:rPr>
        <w:t>Teknikal</w:t>
      </w:r>
      <w:proofErr w:type="spellEnd"/>
      <w:r w:rsidRPr="00C503B0">
        <w:rPr>
          <w:rFonts w:ascii="Cambria" w:eastAsia="Times New Roman" w:hAnsi="Cambria" w:cs="Times New Roman"/>
          <w:sz w:val="22"/>
          <w:szCs w:val="22"/>
          <w:lang w:bidi="en-US"/>
        </w:rPr>
        <w:t xml:space="preserve"> Malaysia Melaka (</w:t>
      </w:r>
      <w:proofErr w:type="spellStart"/>
      <w:r w:rsidRPr="00C503B0">
        <w:rPr>
          <w:rFonts w:ascii="Cambria" w:eastAsia="Times New Roman" w:hAnsi="Cambria" w:cs="Times New Roman"/>
          <w:sz w:val="22"/>
          <w:szCs w:val="22"/>
          <w:lang w:bidi="en-US"/>
        </w:rPr>
        <w:t>UTeM</w:t>
      </w:r>
      <w:proofErr w:type="spellEnd"/>
      <w:r w:rsidRPr="00C503B0">
        <w:rPr>
          <w:rFonts w:ascii="Cambria" w:eastAsia="Times New Roman" w:hAnsi="Cambria" w:cs="Times New Roman"/>
          <w:sz w:val="22"/>
          <w:szCs w:val="22"/>
          <w:lang w:bidi="en-US"/>
        </w:rPr>
        <w:t xml:space="preserve">). (2023). AI adoption in Malaysian universities: Case study report. Melaka: </w:t>
      </w:r>
      <w:proofErr w:type="spellStart"/>
      <w:r w:rsidRPr="00C503B0">
        <w:rPr>
          <w:rFonts w:ascii="Cambria" w:eastAsia="Times New Roman" w:hAnsi="Cambria" w:cs="Times New Roman"/>
          <w:sz w:val="22"/>
          <w:szCs w:val="22"/>
          <w:lang w:bidi="en-US"/>
        </w:rPr>
        <w:t>UTeM</w:t>
      </w:r>
      <w:proofErr w:type="spellEnd"/>
      <w:r w:rsidRPr="00C503B0">
        <w:rPr>
          <w:rFonts w:ascii="Cambria" w:eastAsia="Times New Roman" w:hAnsi="Cambria" w:cs="Times New Roman"/>
          <w:sz w:val="22"/>
          <w:szCs w:val="22"/>
          <w:lang w:bidi="en-US"/>
        </w:rPr>
        <w:t xml:space="preserve"> Press.</w:t>
      </w:r>
    </w:p>
    <w:p w14:paraId="359A701A"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00CB5C1B"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UNITAR International University. (2023). Challenges and opportunities in AI adoption in Malaysian higher education. Kuala Lumpur: UNITAR Research Division.</w:t>
      </w:r>
    </w:p>
    <w:p w14:paraId="1499364D"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54C4EE2E" w14:textId="77777777" w:rsidR="00C503B0" w:rsidRPr="00C503B0" w:rsidRDefault="00C503B0" w:rsidP="00935AE3">
      <w:pPr>
        <w:ind w:left="720" w:hanging="720"/>
        <w:jc w:val="both"/>
        <w:rPr>
          <w:rFonts w:ascii="Cambria" w:eastAsia="Times New Roman" w:hAnsi="Cambria" w:cs="Times New Roman"/>
          <w:sz w:val="22"/>
          <w:szCs w:val="22"/>
          <w:lang w:bidi="en-US"/>
        </w:rPr>
      </w:pPr>
      <w:r w:rsidRPr="00C503B0">
        <w:rPr>
          <w:rFonts w:ascii="Cambria" w:eastAsia="Times New Roman" w:hAnsi="Cambria" w:cs="Times New Roman"/>
          <w:sz w:val="22"/>
          <w:szCs w:val="22"/>
          <w:lang w:bidi="en-US"/>
        </w:rPr>
        <w:t>Zhu, Z., Li, Y., &amp; Wang, L. (2024). Adaptive learning in higher education: A systematic review of recent developments. Journal of Educational Technology &amp; Society, 27(2), 55–70. https://www.jstor.org/stable/27000005</w:t>
      </w:r>
    </w:p>
    <w:p w14:paraId="21F2479F" w14:textId="77777777" w:rsidR="00C503B0" w:rsidRPr="00C503B0" w:rsidRDefault="00C503B0" w:rsidP="00935AE3">
      <w:pPr>
        <w:ind w:left="720" w:hanging="720"/>
        <w:jc w:val="both"/>
        <w:rPr>
          <w:rFonts w:ascii="Cambria" w:eastAsia="Times New Roman" w:hAnsi="Cambria" w:cs="Times New Roman"/>
          <w:sz w:val="22"/>
          <w:szCs w:val="22"/>
          <w:lang w:bidi="en-US"/>
        </w:rPr>
      </w:pPr>
    </w:p>
    <w:p w14:paraId="6FB8EE6A" w14:textId="77777777" w:rsidR="00342B39" w:rsidRPr="005D2DE5" w:rsidRDefault="00342B39" w:rsidP="00C503B0">
      <w:pPr>
        <w:pStyle w:val="NormalWeb"/>
        <w:ind w:left="567" w:hanging="567"/>
        <w:contextualSpacing/>
        <w:jc w:val="both"/>
        <w:rPr>
          <w:rFonts w:ascii="Cambria" w:hAnsi="Cambria"/>
        </w:rPr>
      </w:pPr>
    </w:p>
    <w:sectPr w:rsidR="00342B39" w:rsidRPr="005D2DE5" w:rsidSect="001C229E">
      <w:headerReference w:type="even" r:id="rId17"/>
      <w:headerReference w:type="default" r:id="rId18"/>
      <w:footerReference w:type="even" r:id="rId19"/>
      <w:footerReference w:type="default" r:id="rId20"/>
      <w:headerReference w:type="first" r:id="rId21"/>
      <w:pgSz w:w="11900" w:h="16840"/>
      <w:pgMar w:top="1440" w:right="1440" w:bottom="1440" w:left="1440" w:header="708" w:footer="708"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B7885B" w14:textId="77777777" w:rsidR="00CE2463" w:rsidRDefault="00CE2463" w:rsidP="008107EB">
      <w:r>
        <w:separator/>
      </w:r>
    </w:p>
  </w:endnote>
  <w:endnote w:type="continuationSeparator" w:id="0">
    <w:p w14:paraId="77B5EB65" w14:textId="77777777" w:rsidR="00CE2463" w:rsidRDefault="00CE2463" w:rsidP="0081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7061586"/>
      <w:docPartObj>
        <w:docPartGallery w:val="Page Numbers (Bottom of Page)"/>
        <w:docPartUnique/>
      </w:docPartObj>
    </w:sdtPr>
    <w:sdtContent>
      <w:p w14:paraId="36DCAC3C" w14:textId="77777777" w:rsidR="00BA4C29" w:rsidRDefault="00BA4C29" w:rsidP="005A1E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AC84759" w14:textId="77777777" w:rsidR="00BA4C29" w:rsidRDefault="00BA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80827449"/>
      <w:docPartObj>
        <w:docPartGallery w:val="Page Numbers (Bottom of Page)"/>
        <w:docPartUnique/>
      </w:docPartObj>
    </w:sdtPr>
    <w:sdtContent>
      <w:p w14:paraId="635EB8C9" w14:textId="77777777" w:rsidR="00BA4C29" w:rsidRDefault="00BA4C29" w:rsidP="005A1E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3E3D488" w14:textId="77777777" w:rsidR="00A4100F" w:rsidRPr="00A4100F" w:rsidRDefault="00A4100F" w:rsidP="00A4100F">
    <w:pPr>
      <w:pStyle w:val="Footer"/>
      <w:rPr>
        <w:rFonts w:ascii="Cambria" w:hAnsi="Cambria"/>
        <w:sz w:val="18"/>
        <w:szCs w:val="18"/>
      </w:rPr>
    </w:pPr>
  </w:p>
  <w:p w14:paraId="165D41A5" w14:textId="77777777" w:rsidR="00A4100F" w:rsidRPr="00A4100F" w:rsidRDefault="00A4100F" w:rsidP="00A4100F">
    <w:pPr>
      <w:pStyle w:val="Footer"/>
    </w:pPr>
  </w:p>
  <w:p w14:paraId="12AC216C" w14:textId="77777777" w:rsidR="00A4100F" w:rsidRPr="00A4100F" w:rsidRDefault="00A4100F" w:rsidP="00A41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DD13E2" w14:textId="77777777" w:rsidR="00CE2463" w:rsidRDefault="00CE2463" w:rsidP="008107EB">
      <w:r>
        <w:separator/>
      </w:r>
    </w:p>
  </w:footnote>
  <w:footnote w:type="continuationSeparator" w:id="0">
    <w:p w14:paraId="600EA1D7" w14:textId="77777777" w:rsidR="00CE2463" w:rsidRDefault="00CE2463" w:rsidP="0081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0A29C9" w14:textId="16C74EA4" w:rsidR="00A4100F" w:rsidRDefault="00E6590E" w:rsidP="00E6590E">
    <w:r w:rsidRPr="00E6590E">
      <w:rPr>
        <w:rFonts w:ascii="Cambria" w:eastAsia="Times New Roman" w:hAnsi="Cambria" w:cs="Times New Roman"/>
        <w:sz w:val="18"/>
        <w:szCs w:val="18"/>
        <w:lang w:val="en-US"/>
      </w:rPr>
      <w:t>Shella Devi Govindarajan</w:t>
    </w:r>
    <w:r w:rsidRPr="00E6590E">
      <w:rPr>
        <w:rFonts w:ascii="Cambria" w:eastAsia="Times New Roman" w:hAnsi="Cambria" w:cs="Times New Roman"/>
        <w:sz w:val="18"/>
        <w:szCs w:val="18"/>
        <w:vertAlign w:val="superscript"/>
        <w:lang w:val="en-US"/>
      </w:rPr>
      <w:t xml:space="preserve"> </w:t>
    </w:r>
    <w:r w:rsidR="00BA4C29" w:rsidRPr="00E6590E">
      <w:rPr>
        <w:rFonts w:ascii="Cambria" w:hAnsi="Cambria"/>
        <w:sz w:val="18"/>
        <w:szCs w:val="18"/>
      </w:rPr>
      <w:t xml:space="preserve">et al </w:t>
    </w:r>
    <w:r w:rsidR="00A4100F" w:rsidRPr="00E6590E">
      <w:rPr>
        <w:rFonts w:ascii="Cambria" w:hAnsi="Cambria"/>
        <w:sz w:val="18"/>
        <w:szCs w:val="18"/>
      </w:rPr>
      <w:t xml:space="preserve">/ </w:t>
    </w:r>
    <w:r w:rsidRPr="00E6590E">
      <w:rPr>
        <w:rFonts w:ascii="Cambria" w:eastAsia="Times New Roman" w:hAnsi="Cambria" w:cs="Times New Roman"/>
        <w:bCs/>
        <w:sz w:val="18"/>
        <w:szCs w:val="18"/>
        <w:lang w:bidi="en-US"/>
      </w:rPr>
      <w:t>Artificial Intelligence and Pedagogical Transformation: Opportunities and Challenges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576166" w14:textId="77777777" w:rsidR="00A4100F" w:rsidRPr="00A4100F" w:rsidRDefault="00A4100F" w:rsidP="00A4100F">
    <w:pPr>
      <w:jc w:val="right"/>
      <w:rPr>
        <w:rFonts w:ascii="Times New Roman" w:eastAsia="Times New Roman" w:hAnsi="Times New Roman" w:cs="Times New Roman"/>
        <w:lang w:eastAsia="en-GB"/>
      </w:rPr>
    </w:pPr>
    <w:r w:rsidRPr="00A4100F">
      <w:rPr>
        <w:rFonts w:ascii="Cambria" w:eastAsia="Times New Roman" w:hAnsi="Cambria" w:cs="Times New Roman"/>
        <w:color w:val="000000"/>
        <w:sz w:val="18"/>
        <w:szCs w:val="18"/>
        <w:lang w:eastAsia="en-GB"/>
      </w:rPr>
      <w:t>Journal of Communication in Scientific Inquiry (JCSI)</w:t>
    </w:r>
    <w:r w:rsidRPr="00A4100F">
      <w:rPr>
        <w:rFonts w:ascii="Cambria" w:eastAsia="Times New Roman" w:hAnsi="Cambria" w:cs="Times New Roman"/>
        <w:i/>
        <w:iCs/>
        <w:color w:val="000000"/>
        <w:sz w:val="18"/>
        <w:szCs w:val="18"/>
        <w:lang w:eastAsia="en-GB"/>
      </w:rPr>
      <w:t> </w:t>
    </w:r>
  </w:p>
  <w:p w14:paraId="60402E11" w14:textId="50F28836" w:rsidR="00A4100F" w:rsidRPr="00A4100F" w:rsidRDefault="00A4100F" w:rsidP="00A4100F">
    <w:pPr>
      <w:jc w:val="right"/>
      <w:rPr>
        <w:rFonts w:ascii="Times New Roman" w:eastAsia="Times New Roman" w:hAnsi="Times New Roman" w:cs="Times New Roman"/>
        <w:lang w:eastAsia="en-GB"/>
      </w:rPr>
    </w:pPr>
    <w:r w:rsidRPr="00A4100F">
      <w:rPr>
        <w:rFonts w:ascii="Cambria" w:eastAsia="Times New Roman" w:hAnsi="Cambria" w:cs="Times New Roman"/>
        <w:i/>
        <w:iCs/>
        <w:color w:val="000000"/>
        <w:sz w:val="18"/>
        <w:szCs w:val="18"/>
        <w:lang w:eastAsia="en-GB"/>
      </w:rPr>
      <w:t xml:space="preserve">Volume </w:t>
    </w:r>
    <w:r w:rsidR="00FD0510">
      <w:rPr>
        <w:rFonts w:ascii="Cambria" w:eastAsia="Times New Roman" w:hAnsi="Cambria" w:cs="Times New Roman"/>
        <w:i/>
        <w:iCs/>
        <w:color w:val="000000"/>
        <w:sz w:val="18"/>
        <w:szCs w:val="18"/>
        <w:lang w:eastAsia="en-GB"/>
      </w:rPr>
      <w:t>7</w:t>
    </w:r>
    <w:r w:rsidRPr="00A4100F">
      <w:rPr>
        <w:rFonts w:ascii="Cambria" w:eastAsia="Times New Roman" w:hAnsi="Cambria" w:cs="Times New Roman"/>
        <w:i/>
        <w:iCs/>
        <w:color w:val="000000"/>
        <w:sz w:val="18"/>
        <w:szCs w:val="18"/>
        <w:lang w:eastAsia="en-GB"/>
      </w:rPr>
      <w:t xml:space="preserve"> Issue </w:t>
    </w:r>
    <w:r w:rsidR="00FD0510">
      <w:rPr>
        <w:rFonts w:ascii="Cambria" w:eastAsia="Times New Roman" w:hAnsi="Cambria" w:cs="Times New Roman"/>
        <w:i/>
        <w:iCs/>
        <w:color w:val="000000"/>
        <w:sz w:val="18"/>
        <w:szCs w:val="18"/>
        <w:lang w:eastAsia="en-GB"/>
      </w:rPr>
      <w:t>2</w:t>
    </w:r>
    <w:r w:rsidR="007F792C">
      <w:rPr>
        <w:rFonts w:ascii="Cambria" w:eastAsia="Times New Roman" w:hAnsi="Cambria" w:cs="Times New Roman"/>
        <w:i/>
        <w:iCs/>
        <w:color w:val="000000"/>
        <w:sz w:val="18"/>
        <w:szCs w:val="18"/>
        <w:lang w:eastAsia="en-GB"/>
      </w:rPr>
      <w:t xml:space="preserve">, </w:t>
    </w:r>
    <w:r w:rsidR="007F792C" w:rsidRPr="000151BA">
      <w:rPr>
        <w:rFonts w:ascii="Cambria" w:eastAsia="Times New Roman" w:hAnsi="Cambria" w:cs="Times New Roman"/>
        <w:i/>
        <w:iCs/>
        <w:color w:val="000000"/>
        <w:sz w:val="18"/>
        <w:szCs w:val="18"/>
        <w:lang w:eastAsia="en-GB"/>
      </w:rPr>
      <w:t xml:space="preserve">December 2025 </w:t>
    </w:r>
    <w:r w:rsidR="007F792C" w:rsidRPr="000151BA">
      <w:rPr>
        <w:rFonts w:ascii="Cambria" w:eastAsia="Times New Roman" w:hAnsi="Cambria" w:cs="Times New Roman"/>
        <w:color w:val="000000"/>
        <w:sz w:val="18"/>
        <w:szCs w:val="18"/>
        <w:lang w:eastAsia="en-GB"/>
      </w:rPr>
      <w:t>[</w:t>
    </w:r>
    <w:r w:rsidR="007F792C">
      <w:rPr>
        <w:rFonts w:ascii="Cambria" w:eastAsia="Times New Roman" w:hAnsi="Cambria" w:cs="Times New Roman"/>
        <w:color w:val="000000"/>
        <w:sz w:val="18"/>
        <w:szCs w:val="18"/>
        <w:lang w:eastAsia="en-GB"/>
      </w:rPr>
      <w:t>2</w:t>
    </w:r>
    <w:r w:rsidR="0066742A">
      <w:rPr>
        <w:rFonts w:ascii="Cambria" w:eastAsia="Times New Roman" w:hAnsi="Cambria" w:cs="Times New Roman"/>
        <w:color w:val="000000"/>
        <w:sz w:val="18"/>
        <w:szCs w:val="18"/>
        <w:lang w:eastAsia="en-GB"/>
      </w:rPr>
      <w:t>3</w:t>
    </w:r>
    <w:r w:rsidR="007F792C">
      <w:rPr>
        <w:rFonts w:ascii="Cambria" w:eastAsia="Times New Roman" w:hAnsi="Cambria" w:cs="Times New Roman"/>
        <w:color w:val="000000"/>
        <w:sz w:val="18"/>
        <w:szCs w:val="18"/>
        <w:lang w:eastAsia="en-GB"/>
      </w:rPr>
      <w:t>-3</w:t>
    </w:r>
    <w:r w:rsidR="00F15F5B">
      <w:rPr>
        <w:rFonts w:ascii="Cambria" w:eastAsia="Times New Roman" w:hAnsi="Cambria" w:cs="Times New Roman"/>
        <w:color w:val="000000"/>
        <w:sz w:val="18"/>
        <w:szCs w:val="18"/>
        <w:lang w:eastAsia="en-GB"/>
      </w:rPr>
      <w:t>2</w:t>
    </w:r>
    <w:r w:rsidR="007F792C" w:rsidRPr="000151BA">
      <w:rPr>
        <w:rFonts w:ascii="Cambria" w:eastAsia="Times New Roman" w:hAnsi="Cambria" w:cs="Times New Roman"/>
        <w:color w:val="000000"/>
        <w:sz w:val="18"/>
        <w:szCs w:val="18"/>
        <w:lang w:eastAsia="en-GB"/>
      </w:rPr>
      <w:t>]</w:t>
    </w:r>
  </w:p>
  <w:p w14:paraId="19341BDE" w14:textId="77777777" w:rsidR="00A4100F" w:rsidRDefault="00A41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CE05FA" w14:textId="77777777" w:rsidR="007F792C" w:rsidRPr="00A4100F" w:rsidRDefault="007F792C" w:rsidP="007F792C">
    <w:pPr>
      <w:rPr>
        <w:rFonts w:ascii="Times New Roman" w:eastAsia="Times New Roman" w:hAnsi="Times New Roman" w:cs="Times New Roman"/>
        <w:lang w:eastAsia="en-GB"/>
      </w:rPr>
    </w:pPr>
    <w:r w:rsidRPr="00A4100F">
      <w:rPr>
        <w:noProof/>
      </w:rPr>
      <w:drawing>
        <wp:anchor distT="0" distB="0" distL="114300" distR="114300" simplePos="0" relativeHeight="251659264" behindDoc="0" locked="0" layoutInCell="1" allowOverlap="1" wp14:anchorId="3A80E4EA" wp14:editId="7DDAA5F8">
          <wp:simplePos x="0" y="0"/>
          <wp:positionH relativeFrom="column">
            <wp:posOffset>4368800</wp:posOffset>
          </wp:positionH>
          <wp:positionV relativeFrom="paragraph">
            <wp:posOffset>-156845</wp:posOffset>
          </wp:positionV>
          <wp:extent cx="1028700" cy="476885"/>
          <wp:effectExtent l="0" t="0" r="0" b="5715"/>
          <wp:wrapThrough wrapText="bothSides">
            <wp:wrapPolygon edited="0">
              <wp:start x="4533" y="0"/>
              <wp:lineTo x="2667" y="575"/>
              <wp:lineTo x="267" y="5752"/>
              <wp:lineTo x="267" y="21284"/>
              <wp:lineTo x="20533" y="21284"/>
              <wp:lineTo x="21067" y="20133"/>
              <wp:lineTo x="17867" y="18407"/>
              <wp:lineTo x="21067" y="11505"/>
              <wp:lineTo x="21333" y="5752"/>
              <wp:lineTo x="20000" y="4602"/>
              <wp:lineTo x="6400" y="0"/>
              <wp:lineTo x="4533" y="0"/>
            </wp:wrapPolygon>
          </wp:wrapThrough>
          <wp:docPr id="2" name="Picture 2" descr="/var/folders/z8/h981r07x0lg0n5qw0063hw3w0000gn/T/com.microsoft.Word/Content.MSO/48F8C0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z8/h981r07x0lg0n5qw0063hw3w0000gn/T/com.microsoft.Word/Content.MSO/48F8C03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00F">
      <w:rPr>
        <w:rFonts w:ascii="Cambria" w:eastAsia="Times New Roman" w:hAnsi="Cambria" w:cs="Times New Roman"/>
        <w:color w:val="000000"/>
        <w:sz w:val="18"/>
        <w:szCs w:val="18"/>
        <w:lang w:eastAsia="en-GB"/>
      </w:rPr>
      <w:t>Journal of Communication in Scientific Inquiry (JCSI)</w:t>
    </w:r>
    <w:r w:rsidRPr="00A4100F">
      <w:rPr>
        <w:rFonts w:ascii="Cambria" w:eastAsia="Times New Roman" w:hAnsi="Cambria" w:cs="Times New Roman"/>
        <w:i/>
        <w:iCs/>
        <w:color w:val="000000"/>
        <w:sz w:val="18"/>
        <w:szCs w:val="18"/>
        <w:lang w:eastAsia="en-GB"/>
      </w:rPr>
      <w:t> </w:t>
    </w:r>
  </w:p>
  <w:p w14:paraId="0AC82004" w14:textId="716E1886" w:rsidR="007F792C" w:rsidRPr="00A4100F" w:rsidRDefault="007F792C" w:rsidP="007F792C">
    <w:pPr>
      <w:rPr>
        <w:rFonts w:ascii="Times New Roman" w:eastAsia="Times New Roman" w:hAnsi="Times New Roman" w:cs="Times New Roman"/>
        <w:lang w:eastAsia="en-GB"/>
      </w:rPr>
    </w:pPr>
    <w:r w:rsidRPr="000151BA">
      <w:rPr>
        <w:rFonts w:ascii="Cambria" w:eastAsia="Times New Roman" w:hAnsi="Cambria" w:cs="Times New Roman"/>
        <w:i/>
        <w:iCs/>
        <w:color w:val="000000"/>
        <w:sz w:val="18"/>
        <w:szCs w:val="18"/>
        <w:lang w:eastAsia="en-GB"/>
      </w:rPr>
      <w:t xml:space="preserve">Volume 7 Issue 2, December 2025 </w:t>
    </w:r>
    <w:r w:rsidRPr="000151BA">
      <w:rPr>
        <w:rFonts w:ascii="Cambria" w:eastAsia="Times New Roman" w:hAnsi="Cambria" w:cs="Times New Roman"/>
        <w:color w:val="000000"/>
        <w:sz w:val="18"/>
        <w:szCs w:val="18"/>
        <w:lang w:eastAsia="en-GB"/>
      </w:rPr>
      <w:t>[</w:t>
    </w:r>
    <w:r>
      <w:rPr>
        <w:rFonts w:ascii="Cambria" w:eastAsia="Times New Roman" w:hAnsi="Cambria" w:cs="Times New Roman"/>
        <w:color w:val="000000"/>
        <w:sz w:val="18"/>
        <w:szCs w:val="18"/>
        <w:lang w:eastAsia="en-GB"/>
      </w:rPr>
      <w:t>2</w:t>
    </w:r>
    <w:r w:rsidR="001C229E">
      <w:rPr>
        <w:rFonts w:ascii="Cambria" w:eastAsia="Times New Roman" w:hAnsi="Cambria" w:cs="Times New Roman"/>
        <w:color w:val="000000"/>
        <w:sz w:val="18"/>
        <w:szCs w:val="18"/>
        <w:lang w:eastAsia="en-GB"/>
      </w:rPr>
      <w:t>3</w:t>
    </w:r>
    <w:r>
      <w:rPr>
        <w:rFonts w:ascii="Cambria" w:eastAsia="Times New Roman" w:hAnsi="Cambria" w:cs="Times New Roman"/>
        <w:color w:val="000000"/>
        <w:sz w:val="18"/>
        <w:szCs w:val="18"/>
        <w:lang w:eastAsia="en-GB"/>
      </w:rPr>
      <w:t>-3</w:t>
    </w:r>
    <w:r w:rsidR="00F15F5B">
      <w:rPr>
        <w:rFonts w:ascii="Cambria" w:eastAsia="Times New Roman" w:hAnsi="Cambria" w:cs="Times New Roman"/>
        <w:color w:val="000000"/>
        <w:sz w:val="18"/>
        <w:szCs w:val="18"/>
        <w:lang w:eastAsia="en-GB"/>
      </w:rPr>
      <w:t>2</w:t>
    </w:r>
    <w:r w:rsidRPr="000151BA">
      <w:rPr>
        <w:rFonts w:ascii="Cambria" w:eastAsia="Times New Roman" w:hAnsi="Cambria" w:cs="Times New Roman"/>
        <w:color w:val="000000"/>
        <w:sz w:val="18"/>
        <w:szCs w:val="18"/>
        <w:lang w:eastAsia="en-GB"/>
      </w:rPr>
      <w:t>]</w:t>
    </w:r>
  </w:p>
  <w:p w14:paraId="14BC2357" w14:textId="4BFD55B6" w:rsidR="00A4100F" w:rsidRPr="007F792C" w:rsidRDefault="00A4100F" w:rsidP="007F7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05534F"/>
    <w:multiLevelType w:val="multilevel"/>
    <w:tmpl w:val="84505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B56A5"/>
    <w:multiLevelType w:val="hybridMultilevel"/>
    <w:tmpl w:val="8430C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377A4"/>
    <w:multiLevelType w:val="hybridMultilevel"/>
    <w:tmpl w:val="5A3C0882"/>
    <w:lvl w:ilvl="0" w:tplc="0809001B">
      <w:start w:val="1"/>
      <w:numFmt w:val="lowerRoman"/>
      <w:lvlText w:val="%1."/>
      <w:lvlJc w:val="righ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3" w15:restartNumberingAfterBreak="0">
    <w:nsid w:val="3BF60CDE"/>
    <w:multiLevelType w:val="hybridMultilevel"/>
    <w:tmpl w:val="A2F63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4F11DC"/>
    <w:multiLevelType w:val="multilevel"/>
    <w:tmpl w:val="F57EA55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523F0D8F"/>
    <w:multiLevelType w:val="hybridMultilevel"/>
    <w:tmpl w:val="A2006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836816"/>
    <w:multiLevelType w:val="hybridMultilevel"/>
    <w:tmpl w:val="B4AA7DCE"/>
    <w:lvl w:ilvl="0" w:tplc="0809001B">
      <w:start w:val="1"/>
      <w:numFmt w:val="lowerRoman"/>
      <w:lvlText w:val="%1."/>
      <w:lvlJc w:val="right"/>
      <w:pPr>
        <w:ind w:left="635" w:hanging="360"/>
      </w:pPr>
    </w:lvl>
    <w:lvl w:ilvl="1" w:tplc="08090019" w:tentative="1">
      <w:start w:val="1"/>
      <w:numFmt w:val="lowerLetter"/>
      <w:lvlText w:val="%2."/>
      <w:lvlJc w:val="left"/>
      <w:pPr>
        <w:ind w:left="1355" w:hanging="360"/>
      </w:pPr>
    </w:lvl>
    <w:lvl w:ilvl="2" w:tplc="0809001B" w:tentative="1">
      <w:start w:val="1"/>
      <w:numFmt w:val="lowerRoman"/>
      <w:lvlText w:val="%3."/>
      <w:lvlJc w:val="right"/>
      <w:pPr>
        <w:ind w:left="2075" w:hanging="180"/>
      </w:pPr>
    </w:lvl>
    <w:lvl w:ilvl="3" w:tplc="0809000F" w:tentative="1">
      <w:start w:val="1"/>
      <w:numFmt w:val="decimal"/>
      <w:lvlText w:val="%4."/>
      <w:lvlJc w:val="left"/>
      <w:pPr>
        <w:ind w:left="2795" w:hanging="360"/>
      </w:pPr>
    </w:lvl>
    <w:lvl w:ilvl="4" w:tplc="08090019" w:tentative="1">
      <w:start w:val="1"/>
      <w:numFmt w:val="lowerLetter"/>
      <w:lvlText w:val="%5."/>
      <w:lvlJc w:val="left"/>
      <w:pPr>
        <w:ind w:left="3515" w:hanging="360"/>
      </w:pPr>
    </w:lvl>
    <w:lvl w:ilvl="5" w:tplc="0809001B" w:tentative="1">
      <w:start w:val="1"/>
      <w:numFmt w:val="lowerRoman"/>
      <w:lvlText w:val="%6."/>
      <w:lvlJc w:val="right"/>
      <w:pPr>
        <w:ind w:left="4235" w:hanging="180"/>
      </w:pPr>
    </w:lvl>
    <w:lvl w:ilvl="6" w:tplc="0809000F" w:tentative="1">
      <w:start w:val="1"/>
      <w:numFmt w:val="decimal"/>
      <w:lvlText w:val="%7."/>
      <w:lvlJc w:val="left"/>
      <w:pPr>
        <w:ind w:left="4955" w:hanging="360"/>
      </w:pPr>
    </w:lvl>
    <w:lvl w:ilvl="7" w:tplc="08090019" w:tentative="1">
      <w:start w:val="1"/>
      <w:numFmt w:val="lowerLetter"/>
      <w:lvlText w:val="%8."/>
      <w:lvlJc w:val="left"/>
      <w:pPr>
        <w:ind w:left="5675" w:hanging="360"/>
      </w:pPr>
    </w:lvl>
    <w:lvl w:ilvl="8" w:tplc="0809001B" w:tentative="1">
      <w:start w:val="1"/>
      <w:numFmt w:val="lowerRoman"/>
      <w:lvlText w:val="%9."/>
      <w:lvlJc w:val="right"/>
      <w:pPr>
        <w:ind w:left="6395" w:hanging="180"/>
      </w:pPr>
    </w:lvl>
  </w:abstractNum>
  <w:num w:numId="1" w16cid:durableId="1418668722">
    <w:abstractNumId w:val="0"/>
    <w:lvlOverride w:ilvl="0">
      <w:lvl w:ilvl="0">
        <w:numFmt w:val="decimal"/>
        <w:lvlText w:val="%1."/>
        <w:lvlJc w:val="left"/>
      </w:lvl>
    </w:lvlOverride>
  </w:num>
  <w:num w:numId="2" w16cid:durableId="284429651">
    <w:abstractNumId w:val="4"/>
  </w:num>
  <w:num w:numId="3" w16cid:durableId="1554534948">
    <w:abstractNumId w:val="5"/>
  </w:num>
  <w:num w:numId="4" w16cid:durableId="1705062308">
    <w:abstractNumId w:val="1"/>
  </w:num>
  <w:num w:numId="5" w16cid:durableId="156045423">
    <w:abstractNumId w:val="6"/>
  </w:num>
  <w:num w:numId="6" w16cid:durableId="499932636">
    <w:abstractNumId w:val="2"/>
  </w:num>
  <w:num w:numId="7" w16cid:durableId="203503856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B26"/>
    <w:rsid w:val="00023E2B"/>
    <w:rsid w:val="0005459F"/>
    <w:rsid w:val="000A05B1"/>
    <w:rsid w:val="000A1FE0"/>
    <w:rsid w:val="00110C57"/>
    <w:rsid w:val="00111002"/>
    <w:rsid w:val="0012082B"/>
    <w:rsid w:val="00181850"/>
    <w:rsid w:val="001B5280"/>
    <w:rsid w:val="001C229E"/>
    <w:rsid w:val="002233F3"/>
    <w:rsid w:val="002A4B26"/>
    <w:rsid w:val="002B5B80"/>
    <w:rsid w:val="00307C15"/>
    <w:rsid w:val="0031500D"/>
    <w:rsid w:val="0032318C"/>
    <w:rsid w:val="00330D36"/>
    <w:rsid w:val="00342B39"/>
    <w:rsid w:val="00391658"/>
    <w:rsid w:val="003B769F"/>
    <w:rsid w:val="00445BE2"/>
    <w:rsid w:val="00460287"/>
    <w:rsid w:val="00482288"/>
    <w:rsid w:val="004938AD"/>
    <w:rsid w:val="00503FE7"/>
    <w:rsid w:val="0059180D"/>
    <w:rsid w:val="005A6C4E"/>
    <w:rsid w:val="005C31B2"/>
    <w:rsid w:val="005D2DE5"/>
    <w:rsid w:val="0063514B"/>
    <w:rsid w:val="00652F7A"/>
    <w:rsid w:val="0066742A"/>
    <w:rsid w:val="006A11B8"/>
    <w:rsid w:val="006B0B96"/>
    <w:rsid w:val="006D5C2C"/>
    <w:rsid w:val="0071012F"/>
    <w:rsid w:val="00732843"/>
    <w:rsid w:val="00736E9F"/>
    <w:rsid w:val="00741B88"/>
    <w:rsid w:val="00783739"/>
    <w:rsid w:val="007873BC"/>
    <w:rsid w:val="007920FF"/>
    <w:rsid w:val="007B21E8"/>
    <w:rsid w:val="007F792C"/>
    <w:rsid w:val="008107EB"/>
    <w:rsid w:val="00935AE3"/>
    <w:rsid w:val="00945386"/>
    <w:rsid w:val="00986FB3"/>
    <w:rsid w:val="009B03BB"/>
    <w:rsid w:val="009B5512"/>
    <w:rsid w:val="009B604D"/>
    <w:rsid w:val="009D0787"/>
    <w:rsid w:val="00A10FE5"/>
    <w:rsid w:val="00A37E27"/>
    <w:rsid w:val="00A4100F"/>
    <w:rsid w:val="00A8223D"/>
    <w:rsid w:val="00A9481B"/>
    <w:rsid w:val="00AA170B"/>
    <w:rsid w:val="00AA7B96"/>
    <w:rsid w:val="00B17B4E"/>
    <w:rsid w:val="00B2008F"/>
    <w:rsid w:val="00B85298"/>
    <w:rsid w:val="00BA0308"/>
    <w:rsid w:val="00BA4C29"/>
    <w:rsid w:val="00BC2567"/>
    <w:rsid w:val="00BF1EBE"/>
    <w:rsid w:val="00BF54FE"/>
    <w:rsid w:val="00C503B0"/>
    <w:rsid w:val="00CA02BB"/>
    <w:rsid w:val="00CE22CB"/>
    <w:rsid w:val="00CE2463"/>
    <w:rsid w:val="00DD118B"/>
    <w:rsid w:val="00E21CD6"/>
    <w:rsid w:val="00E3052F"/>
    <w:rsid w:val="00E33C9A"/>
    <w:rsid w:val="00E53B9A"/>
    <w:rsid w:val="00E6590E"/>
    <w:rsid w:val="00E82D46"/>
    <w:rsid w:val="00EC6AC1"/>
    <w:rsid w:val="00F068AF"/>
    <w:rsid w:val="00F15F5B"/>
    <w:rsid w:val="00F55EC4"/>
    <w:rsid w:val="00F938EB"/>
    <w:rsid w:val="00FA484C"/>
    <w:rsid w:val="00FD05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2DE9D"/>
  <w15:chartTrackingRefBased/>
  <w15:docId w15:val="{FBF9217F-4F2E-4A60-AACC-ABCF3C94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2B3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2B39"/>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342B39"/>
  </w:style>
  <w:style w:type="character" w:customStyle="1" w:styleId="Heading1Char">
    <w:name w:val="Heading 1 Char"/>
    <w:basedOn w:val="DefaultParagraphFont"/>
    <w:link w:val="Heading1"/>
    <w:uiPriority w:val="9"/>
    <w:rsid w:val="00342B39"/>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342B39"/>
    <w:rPr>
      <w:color w:val="0000FF"/>
      <w:u w:val="single"/>
    </w:rPr>
  </w:style>
  <w:style w:type="paragraph" w:styleId="ListParagraph">
    <w:name w:val="List Paragraph"/>
    <w:basedOn w:val="Normal"/>
    <w:uiPriority w:val="34"/>
    <w:qFormat/>
    <w:rsid w:val="005D2DE5"/>
    <w:pPr>
      <w:ind w:left="720"/>
      <w:contextualSpacing/>
    </w:pPr>
  </w:style>
  <w:style w:type="table" w:styleId="TableGrid">
    <w:name w:val="Table Grid"/>
    <w:basedOn w:val="TableNormal"/>
    <w:uiPriority w:val="39"/>
    <w:rsid w:val="00A1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17B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A11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A11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A11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A11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A11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6A11B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1">
    <w:name w:val="Grid Table 3 Accent 1"/>
    <w:basedOn w:val="TableNormal"/>
    <w:uiPriority w:val="48"/>
    <w:rsid w:val="006A11B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
    <w:name w:val="Grid Table 3"/>
    <w:basedOn w:val="TableNormal"/>
    <w:uiPriority w:val="48"/>
    <w:rsid w:val="006A11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6A11B8"/>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A11B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6A11B8"/>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1">
    <w:name w:val="List Table 2 Accent 1"/>
    <w:basedOn w:val="TableNormal"/>
    <w:uiPriority w:val="47"/>
    <w:rsid w:val="006A11B8"/>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3">
    <w:name w:val="List Table 2 Accent 3"/>
    <w:basedOn w:val="TableNormal"/>
    <w:uiPriority w:val="47"/>
    <w:rsid w:val="006A11B8"/>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6A11B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5Dark">
    <w:name w:val="List Table 5 Dark"/>
    <w:basedOn w:val="TableNormal"/>
    <w:uiPriority w:val="50"/>
    <w:rsid w:val="006A11B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A11B8"/>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A11B8"/>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6A11B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A11B8"/>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8107EB"/>
    <w:pPr>
      <w:tabs>
        <w:tab w:val="center" w:pos="4513"/>
        <w:tab w:val="right" w:pos="9026"/>
      </w:tabs>
    </w:pPr>
  </w:style>
  <w:style w:type="character" w:customStyle="1" w:styleId="HeaderChar">
    <w:name w:val="Header Char"/>
    <w:basedOn w:val="DefaultParagraphFont"/>
    <w:link w:val="Header"/>
    <w:uiPriority w:val="99"/>
    <w:rsid w:val="008107EB"/>
  </w:style>
  <w:style w:type="paragraph" w:styleId="Footer">
    <w:name w:val="footer"/>
    <w:basedOn w:val="Normal"/>
    <w:link w:val="FooterChar"/>
    <w:uiPriority w:val="99"/>
    <w:unhideWhenUsed/>
    <w:rsid w:val="008107EB"/>
    <w:pPr>
      <w:tabs>
        <w:tab w:val="center" w:pos="4513"/>
        <w:tab w:val="right" w:pos="9026"/>
      </w:tabs>
    </w:pPr>
  </w:style>
  <w:style w:type="character" w:customStyle="1" w:styleId="FooterChar">
    <w:name w:val="Footer Char"/>
    <w:basedOn w:val="DefaultParagraphFont"/>
    <w:link w:val="Footer"/>
    <w:uiPriority w:val="99"/>
    <w:rsid w:val="008107EB"/>
  </w:style>
  <w:style w:type="character" w:styleId="UnresolvedMention">
    <w:name w:val="Unresolved Mention"/>
    <w:basedOn w:val="DefaultParagraphFont"/>
    <w:uiPriority w:val="99"/>
    <w:semiHidden/>
    <w:unhideWhenUsed/>
    <w:rsid w:val="005C31B2"/>
    <w:rPr>
      <w:color w:val="605E5C"/>
      <w:shd w:val="clear" w:color="auto" w:fill="E1DFDD"/>
    </w:rPr>
  </w:style>
  <w:style w:type="character" w:styleId="Emphasis">
    <w:name w:val="Emphasis"/>
    <w:basedOn w:val="DefaultParagraphFont"/>
    <w:uiPriority w:val="20"/>
    <w:qFormat/>
    <w:rsid w:val="005C31B2"/>
    <w:rPr>
      <w:i/>
      <w:iCs/>
    </w:rPr>
  </w:style>
  <w:style w:type="character" w:styleId="PageNumber">
    <w:name w:val="page number"/>
    <w:basedOn w:val="DefaultParagraphFont"/>
    <w:uiPriority w:val="99"/>
    <w:semiHidden/>
    <w:unhideWhenUsed/>
    <w:rsid w:val="00BA4C29"/>
  </w:style>
  <w:style w:type="table" w:customStyle="1" w:styleId="PlainTable21">
    <w:name w:val="Plain Table 21"/>
    <w:basedOn w:val="TableNormal"/>
    <w:next w:val="PlainTable2"/>
    <w:uiPriority w:val="42"/>
    <w:rsid w:val="00A8223D"/>
    <w:rPr>
      <w:sz w:val="20"/>
      <w:szCs w:val="20"/>
      <w:lang w:val="en-MY" w:eastAsia="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7F7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902360">
      <w:bodyDiv w:val="1"/>
      <w:marLeft w:val="0"/>
      <w:marRight w:val="0"/>
      <w:marTop w:val="0"/>
      <w:marBottom w:val="0"/>
      <w:divBdr>
        <w:top w:val="none" w:sz="0" w:space="0" w:color="auto"/>
        <w:left w:val="none" w:sz="0" w:space="0" w:color="auto"/>
        <w:bottom w:val="none" w:sz="0" w:space="0" w:color="auto"/>
        <w:right w:val="none" w:sz="0" w:space="0" w:color="auto"/>
      </w:divBdr>
    </w:div>
    <w:div w:id="68237753">
      <w:bodyDiv w:val="1"/>
      <w:marLeft w:val="0"/>
      <w:marRight w:val="0"/>
      <w:marTop w:val="0"/>
      <w:marBottom w:val="0"/>
      <w:divBdr>
        <w:top w:val="none" w:sz="0" w:space="0" w:color="auto"/>
        <w:left w:val="none" w:sz="0" w:space="0" w:color="auto"/>
        <w:bottom w:val="none" w:sz="0" w:space="0" w:color="auto"/>
        <w:right w:val="none" w:sz="0" w:space="0" w:color="auto"/>
      </w:divBdr>
    </w:div>
    <w:div w:id="178592815">
      <w:bodyDiv w:val="1"/>
      <w:marLeft w:val="0"/>
      <w:marRight w:val="0"/>
      <w:marTop w:val="0"/>
      <w:marBottom w:val="0"/>
      <w:divBdr>
        <w:top w:val="none" w:sz="0" w:space="0" w:color="auto"/>
        <w:left w:val="none" w:sz="0" w:space="0" w:color="auto"/>
        <w:bottom w:val="none" w:sz="0" w:space="0" w:color="auto"/>
        <w:right w:val="none" w:sz="0" w:space="0" w:color="auto"/>
      </w:divBdr>
    </w:div>
    <w:div w:id="274796898">
      <w:bodyDiv w:val="1"/>
      <w:marLeft w:val="0"/>
      <w:marRight w:val="0"/>
      <w:marTop w:val="0"/>
      <w:marBottom w:val="0"/>
      <w:divBdr>
        <w:top w:val="none" w:sz="0" w:space="0" w:color="auto"/>
        <w:left w:val="none" w:sz="0" w:space="0" w:color="auto"/>
        <w:bottom w:val="none" w:sz="0" w:space="0" w:color="auto"/>
        <w:right w:val="none" w:sz="0" w:space="0" w:color="auto"/>
      </w:divBdr>
    </w:div>
    <w:div w:id="388765673">
      <w:bodyDiv w:val="1"/>
      <w:marLeft w:val="0"/>
      <w:marRight w:val="0"/>
      <w:marTop w:val="0"/>
      <w:marBottom w:val="0"/>
      <w:divBdr>
        <w:top w:val="none" w:sz="0" w:space="0" w:color="auto"/>
        <w:left w:val="none" w:sz="0" w:space="0" w:color="auto"/>
        <w:bottom w:val="none" w:sz="0" w:space="0" w:color="auto"/>
        <w:right w:val="none" w:sz="0" w:space="0" w:color="auto"/>
      </w:divBdr>
    </w:div>
    <w:div w:id="422726407">
      <w:bodyDiv w:val="1"/>
      <w:marLeft w:val="0"/>
      <w:marRight w:val="0"/>
      <w:marTop w:val="0"/>
      <w:marBottom w:val="0"/>
      <w:divBdr>
        <w:top w:val="none" w:sz="0" w:space="0" w:color="auto"/>
        <w:left w:val="none" w:sz="0" w:space="0" w:color="auto"/>
        <w:bottom w:val="none" w:sz="0" w:space="0" w:color="auto"/>
        <w:right w:val="none" w:sz="0" w:space="0" w:color="auto"/>
      </w:divBdr>
    </w:div>
    <w:div w:id="425225589">
      <w:bodyDiv w:val="1"/>
      <w:marLeft w:val="0"/>
      <w:marRight w:val="0"/>
      <w:marTop w:val="0"/>
      <w:marBottom w:val="0"/>
      <w:divBdr>
        <w:top w:val="none" w:sz="0" w:space="0" w:color="auto"/>
        <w:left w:val="none" w:sz="0" w:space="0" w:color="auto"/>
        <w:bottom w:val="none" w:sz="0" w:space="0" w:color="auto"/>
        <w:right w:val="none" w:sz="0" w:space="0" w:color="auto"/>
      </w:divBdr>
    </w:div>
    <w:div w:id="522283488">
      <w:bodyDiv w:val="1"/>
      <w:marLeft w:val="0"/>
      <w:marRight w:val="0"/>
      <w:marTop w:val="0"/>
      <w:marBottom w:val="0"/>
      <w:divBdr>
        <w:top w:val="none" w:sz="0" w:space="0" w:color="auto"/>
        <w:left w:val="none" w:sz="0" w:space="0" w:color="auto"/>
        <w:bottom w:val="none" w:sz="0" w:space="0" w:color="auto"/>
        <w:right w:val="none" w:sz="0" w:space="0" w:color="auto"/>
      </w:divBdr>
    </w:div>
    <w:div w:id="566376130">
      <w:bodyDiv w:val="1"/>
      <w:marLeft w:val="0"/>
      <w:marRight w:val="0"/>
      <w:marTop w:val="0"/>
      <w:marBottom w:val="0"/>
      <w:divBdr>
        <w:top w:val="none" w:sz="0" w:space="0" w:color="auto"/>
        <w:left w:val="none" w:sz="0" w:space="0" w:color="auto"/>
        <w:bottom w:val="none" w:sz="0" w:space="0" w:color="auto"/>
        <w:right w:val="none" w:sz="0" w:space="0" w:color="auto"/>
      </w:divBdr>
    </w:div>
    <w:div w:id="571085876">
      <w:bodyDiv w:val="1"/>
      <w:marLeft w:val="0"/>
      <w:marRight w:val="0"/>
      <w:marTop w:val="0"/>
      <w:marBottom w:val="0"/>
      <w:divBdr>
        <w:top w:val="none" w:sz="0" w:space="0" w:color="auto"/>
        <w:left w:val="none" w:sz="0" w:space="0" w:color="auto"/>
        <w:bottom w:val="none" w:sz="0" w:space="0" w:color="auto"/>
        <w:right w:val="none" w:sz="0" w:space="0" w:color="auto"/>
      </w:divBdr>
    </w:div>
    <w:div w:id="635528975">
      <w:bodyDiv w:val="1"/>
      <w:marLeft w:val="0"/>
      <w:marRight w:val="0"/>
      <w:marTop w:val="0"/>
      <w:marBottom w:val="0"/>
      <w:divBdr>
        <w:top w:val="none" w:sz="0" w:space="0" w:color="auto"/>
        <w:left w:val="none" w:sz="0" w:space="0" w:color="auto"/>
        <w:bottom w:val="none" w:sz="0" w:space="0" w:color="auto"/>
        <w:right w:val="none" w:sz="0" w:space="0" w:color="auto"/>
      </w:divBdr>
    </w:div>
    <w:div w:id="657997390">
      <w:bodyDiv w:val="1"/>
      <w:marLeft w:val="0"/>
      <w:marRight w:val="0"/>
      <w:marTop w:val="0"/>
      <w:marBottom w:val="0"/>
      <w:divBdr>
        <w:top w:val="none" w:sz="0" w:space="0" w:color="auto"/>
        <w:left w:val="none" w:sz="0" w:space="0" w:color="auto"/>
        <w:bottom w:val="none" w:sz="0" w:space="0" w:color="auto"/>
        <w:right w:val="none" w:sz="0" w:space="0" w:color="auto"/>
      </w:divBdr>
      <w:divsChild>
        <w:div w:id="226385651">
          <w:marLeft w:val="119"/>
          <w:marRight w:val="0"/>
          <w:marTop w:val="0"/>
          <w:marBottom w:val="0"/>
          <w:divBdr>
            <w:top w:val="none" w:sz="0" w:space="0" w:color="auto"/>
            <w:left w:val="none" w:sz="0" w:space="0" w:color="auto"/>
            <w:bottom w:val="none" w:sz="0" w:space="0" w:color="auto"/>
            <w:right w:val="none" w:sz="0" w:space="0" w:color="auto"/>
          </w:divBdr>
        </w:div>
      </w:divsChild>
    </w:div>
    <w:div w:id="664211633">
      <w:bodyDiv w:val="1"/>
      <w:marLeft w:val="0"/>
      <w:marRight w:val="0"/>
      <w:marTop w:val="0"/>
      <w:marBottom w:val="0"/>
      <w:divBdr>
        <w:top w:val="none" w:sz="0" w:space="0" w:color="auto"/>
        <w:left w:val="none" w:sz="0" w:space="0" w:color="auto"/>
        <w:bottom w:val="none" w:sz="0" w:space="0" w:color="auto"/>
        <w:right w:val="none" w:sz="0" w:space="0" w:color="auto"/>
      </w:divBdr>
    </w:div>
    <w:div w:id="685522829">
      <w:bodyDiv w:val="1"/>
      <w:marLeft w:val="0"/>
      <w:marRight w:val="0"/>
      <w:marTop w:val="0"/>
      <w:marBottom w:val="0"/>
      <w:divBdr>
        <w:top w:val="none" w:sz="0" w:space="0" w:color="auto"/>
        <w:left w:val="none" w:sz="0" w:space="0" w:color="auto"/>
        <w:bottom w:val="none" w:sz="0" w:space="0" w:color="auto"/>
        <w:right w:val="none" w:sz="0" w:space="0" w:color="auto"/>
      </w:divBdr>
    </w:div>
    <w:div w:id="685523617">
      <w:bodyDiv w:val="1"/>
      <w:marLeft w:val="0"/>
      <w:marRight w:val="0"/>
      <w:marTop w:val="0"/>
      <w:marBottom w:val="0"/>
      <w:divBdr>
        <w:top w:val="none" w:sz="0" w:space="0" w:color="auto"/>
        <w:left w:val="none" w:sz="0" w:space="0" w:color="auto"/>
        <w:bottom w:val="none" w:sz="0" w:space="0" w:color="auto"/>
        <w:right w:val="none" w:sz="0" w:space="0" w:color="auto"/>
      </w:divBdr>
    </w:div>
    <w:div w:id="710149334">
      <w:bodyDiv w:val="1"/>
      <w:marLeft w:val="0"/>
      <w:marRight w:val="0"/>
      <w:marTop w:val="0"/>
      <w:marBottom w:val="0"/>
      <w:divBdr>
        <w:top w:val="none" w:sz="0" w:space="0" w:color="auto"/>
        <w:left w:val="none" w:sz="0" w:space="0" w:color="auto"/>
        <w:bottom w:val="none" w:sz="0" w:space="0" w:color="auto"/>
        <w:right w:val="none" w:sz="0" w:space="0" w:color="auto"/>
      </w:divBdr>
    </w:div>
    <w:div w:id="711152192">
      <w:bodyDiv w:val="1"/>
      <w:marLeft w:val="0"/>
      <w:marRight w:val="0"/>
      <w:marTop w:val="0"/>
      <w:marBottom w:val="0"/>
      <w:divBdr>
        <w:top w:val="none" w:sz="0" w:space="0" w:color="auto"/>
        <w:left w:val="none" w:sz="0" w:space="0" w:color="auto"/>
        <w:bottom w:val="none" w:sz="0" w:space="0" w:color="auto"/>
        <w:right w:val="none" w:sz="0" w:space="0" w:color="auto"/>
      </w:divBdr>
    </w:div>
    <w:div w:id="732236958">
      <w:bodyDiv w:val="1"/>
      <w:marLeft w:val="0"/>
      <w:marRight w:val="0"/>
      <w:marTop w:val="0"/>
      <w:marBottom w:val="0"/>
      <w:divBdr>
        <w:top w:val="none" w:sz="0" w:space="0" w:color="auto"/>
        <w:left w:val="none" w:sz="0" w:space="0" w:color="auto"/>
        <w:bottom w:val="none" w:sz="0" w:space="0" w:color="auto"/>
        <w:right w:val="none" w:sz="0" w:space="0" w:color="auto"/>
      </w:divBdr>
    </w:div>
    <w:div w:id="739444885">
      <w:bodyDiv w:val="1"/>
      <w:marLeft w:val="0"/>
      <w:marRight w:val="0"/>
      <w:marTop w:val="0"/>
      <w:marBottom w:val="0"/>
      <w:divBdr>
        <w:top w:val="none" w:sz="0" w:space="0" w:color="auto"/>
        <w:left w:val="none" w:sz="0" w:space="0" w:color="auto"/>
        <w:bottom w:val="none" w:sz="0" w:space="0" w:color="auto"/>
        <w:right w:val="none" w:sz="0" w:space="0" w:color="auto"/>
      </w:divBdr>
      <w:divsChild>
        <w:div w:id="1321076794">
          <w:marLeft w:val="119"/>
          <w:marRight w:val="0"/>
          <w:marTop w:val="0"/>
          <w:marBottom w:val="0"/>
          <w:divBdr>
            <w:top w:val="none" w:sz="0" w:space="0" w:color="auto"/>
            <w:left w:val="none" w:sz="0" w:space="0" w:color="auto"/>
            <w:bottom w:val="none" w:sz="0" w:space="0" w:color="auto"/>
            <w:right w:val="none" w:sz="0" w:space="0" w:color="auto"/>
          </w:divBdr>
        </w:div>
      </w:divsChild>
    </w:div>
    <w:div w:id="818493905">
      <w:bodyDiv w:val="1"/>
      <w:marLeft w:val="0"/>
      <w:marRight w:val="0"/>
      <w:marTop w:val="0"/>
      <w:marBottom w:val="0"/>
      <w:divBdr>
        <w:top w:val="none" w:sz="0" w:space="0" w:color="auto"/>
        <w:left w:val="none" w:sz="0" w:space="0" w:color="auto"/>
        <w:bottom w:val="none" w:sz="0" w:space="0" w:color="auto"/>
        <w:right w:val="none" w:sz="0" w:space="0" w:color="auto"/>
      </w:divBdr>
    </w:div>
    <w:div w:id="852036387">
      <w:bodyDiv w:val="1"/>
      <w:marLeft w:val="0"/>
      <w:marRight w:val="0"/>
      <w:marTop w:val="0"/>
      <w:marBottom w:val="0"/>
      <w:divBdr>
        <w:top w:val="none" w:sz="0" w:space="0" w:color="auto"/>
        <w:left w:val="none" w:sz="0" w:space="0" w:color="auto"/>
        <w:bottom w:val="none" w:sz="0" w:space="0" w:color="auto"/>
        <w:right w:val="none" w:sz="0" w:space="0" w:color="auto"/>
      </w:divBdr>
    </w:div>
    <w:div w:id="903490005">
      <w:bodyDiv w:val="1"/>
      <w:marLeft w:val="0"/>
      <w:marRight w:val="0"/>
      <w:marTop w:val="0"/>
      <w:marBottom w:val="0"/>
      <w:divBdr>
        <w:top w:val="none" w:sz="0" w:space="0" w:color="auto"/>
        <w:left w:val="none" w:sz="0" w:space="0" w:color="auto"/>
        <w:bottom w:val="none" w:sz="0" w:space="0" w:color="auto"/>
        <w:right w:val="none" w:sz="0" w:space="0" w:color="auto"/>
      </w:divBdr>
    </w:div>
    <w:div w:id="926617357">
      <w:bodyDiv w:val="1"/>
      <w:marLeft w:val="0"/>
      <w:marRight w:val="0"/>
      <w:marTop w:val="0"/>
      <w:marBottom w:val="0"/>
      <w:divBdr>
        <w:top w:val="none" w:sz="0" w:space="0" w:color="auto"/>
        <w:left w:val="none" w:sz="0" w:space="0" w:color="auto"/>
        <w:bottom w:val="none" w:sz="0" w:space="0" w:color="auto"/>
        <w:right w:val="none" w:sz="0" w:space="0" w:color="auto"/>
      </w:divBdr>
    </w:div>
    <w:div w:id="942111774">
      <w:bodyDiv w:val="1"/>
      <w:marLeft w:val="0"/>
      <w:marRight w:val="0"/>
      <w:marTop w:val="0"/>
      <w:marBottom w:val="0"/>
      <w:divBdr>
        <w:top w:val="none" w:sz="0" w:space="0" w:color="auto"/>
        <w:left w:val="none" w:sz="0" w:space="0" w:color="auto"/>
        <w:bottom w:val="none" w:sz="0" w:space="0" w:color="auto"/>
        <w:right w:val="none" w:sz="0" w:space="0" w:color="auto"/>
      </w:divBdr>
    </w:div>
    <w:div w:id="966197963">
      <w:bodyDiv w:val="1"/>
      <w:marLeft w:val="0"/>
      <w:marRight w:val="0"/>
      <w:marTop w:val="0"/>
      <w:marBottom w:val="0"/>
      <w:divBdr>
        <w:top w:val="none" w:sz="0" w:space="0" w:color="auto"/>
        <w:left w:val="none" w:sz="0" w:space="0" w:color="auto"/>
        <w:bottom w:val="none" w:sz="0" w:space="0" w:color="auto"/>
        <w:right w:val="none" w:sz="0" w:space="0" w:color="auto"/>
      </w:divBdr>
    </w:div>
    <w:div w:id="988361564">
      <w:bodyDiv w:val="1"/>
      <w:marLeft w:val="0"/>
      <w:marRight w:val="0"/>
      <w:marTop w:val="0"/>
      <w:marBottom w:val="0"/>
      <w:divBdr>
        <w:top w:val="none" w:sz="0" w:space="0" w:color="auto"/>
        <w:left w:val="none" w:sz="0" w:space="0" w:color="auto"/>
        <w:bottom w:val="none" w:sz="0" w:space="0" w:color="auto"/>
        <w:right w:val="none" w:sz="0" w:space="0" w:color="auto"/>
      </w:divBdr>
      <w:divsChild>
        <w:div w:id="1565601089">
          <w:marLeft w:val="193"/>
          <w:marRight w:val="0"/>
          <w:marTop w:val="0"/>
          <w:marBottom w:val="0"/>
          <w:divBdr>
            <w:top w:val="none" w:sz="0" w:space="0" w:color="auto"/>
            <w:left w:val="none" w:sz="0" w:space="0" w:color="auto"/>
            <w:bottom w:val="none" w:sz="0" w:space="0" w:color="auto"/>
            <w:right w:val="none" w:sz="0" w:space="0" w:color="auto"/>
          </w:divBdr>
        </w:div>
      </w:divsChild>
    </w:div>
    <w:div w:id="1007516147">
      <w:bodyDiv w:val="1"/>
      <w:marLeft w:val="0"/>
      <w:marRight w:val="0"/>
      <w:marTop w:val="0"/>
      <w:marBottom w:val="0"/>
      <w:divBdr>
        <w:top w:val="none" w:sz="0" w:space="0" w:color="auto"/>
        <w:left w:val="none" w:sz="0" w:space="0" w:color="auto"/>
        <w:bottom w:val="none" w:sz="0" w:space="0" w:color="auto"/>
        <w:right w:val="none" w:sz="0" w:space="0" w:color="auto"/>
      </w:divBdr>
    </w:div>
    <w:div w:id="1088228566">
      <w:bodyDiv w:val="1"/>
      <w:marLeft w:val="0"/>
      <w:marRight w:val="0"/>
      <w:marTop w:val="0"/>
      <w:marBottom w:val="0"/>
      <w:divBdr>
        <w:top w:val="none" w:sz="0" w:space="0" w:color="auto"/>
        <w:left w:val="none" w:sz="0" w:space="0" w:color="auto"/>
        <w:bottom w:val="none" w:sz="0" w:space="0" w:color="auto"/>
        <w:right w:val="none" w:sz="0" w:space="0" w:color="auto"/>
      </w:divBdr>
      <w:divsChild>
        <w:div w:id="1757050079">
          <w:marLeft w:val="147"/>
          <w:marRight w:val="0"/>
          <w:marTop w:val="0"/>
          <w:marBottom w:val="0"/>
          <w:divBdr>
            <w:top w:val="none" w:sz="0" w:space="0" w:color="auto"/>
            <w:left w:val="none" w:sz="0" w:space="0" w:color="auto"/>
            <w:bottom w:val="none" w:sz="0" w:space="0" w:color="auto"/>
            <w:right w:val="none" w:sz="0" w:space="0" w:color="auto"/>
          </w:divBdr>
        </w:div>
      </w:divsChild>
    </w:div>
    <w:div w:id="1111435666">
      <w:bodyDiv w:val="1"/>
      <w:marLeft w:val="0"/>
      <w:marRight w:val="0"/>
      <w:marTop w:val="0"/>
      <w:marBottom w:val="0"/>
      <w:divBdr>
        <w:top w:val="none" w:sz="0" w:space="0" w:color="auto"/>
        <w:left w:val="none" w:sz="0" w:space="0" w:color="auto"/>
        <w:bottom w:val="none" w:sz="0" w:space="0" w:color="auto"/>
        <w:right w:val="none" w:sz="0" w:space="0" w:color="auto"/>
      </w:divBdr>
    </w:div>
    <w:div w:id="1122654275">
      <w:bodyDiv w:val="1"/>
      <w:marLeft w:val="0"/>
      <w:marRight w:val="0"/>
      <w:marTop w:val="0"/>
      <w:marBottom w:val="0"/>
      <w:divBdr>
        <w:top w:val="none" w:sz="0" w:space="0" w:color="auto"/>
        <w:left w:val="none" w:sz="0" w:space="0" w:color="auto"/>
        <w:bottom w:val="none" w:sz="0" w:space="0" w:color="auto"/>
        <w:right w:val="none" w:sz="0" w:space="0" w:color="auto"/>
      </w:divBdr>
      <w:divsChild>
        <w:div w:id="2086761605">
          <w:marLeft w:val="119"/>
          <w:marRight w:val="0"/>
          <w:marTop w:val="0"/>
          <w:marBottom w:val="0"/>
          <w:divBdr>
            <w:top w:val="none" w:sz="0" w:space="0" w:color="auto"/>
            <w:left w:val="none" w:sz="0" w:space="0" w:color="auto"/>
            <w:bottom w:val="none" w:sz="0" w:space="0" w:color="auto"/>
            <w:right w:val="none" w:sz="0" w:space="0" w:color="auto"/>
          </w:divBdr>
        </w:div>
      </w:divsChild>
    </w:div>
    <w:div w:id="1123646896">
      <w:bodyDiv w:val="1"/>
      <w:marLeft w:val="0"/>
      <w:marRight w:val="0"/>
      <w:marTop w:val="0"/>
      <w:marBottom w:val="0"/>
      <w:divBdr>
        <w:top w:val="none" w:sz="0" w:space="0" w:color="auto"/>
        <w:left w:val="none" w:sz="0" w:space="0" w:color="auto"/>
        <w:bottom w:val="none" w:sz="0" w:space="0" w:color="auto"/>
        <w:right w:val="none" w:sz="0" w:space="0" w:color="auto"/>
      </w:divBdr>
    </w:div>
    <w:div w:id="1163275673">
      <w:bodyDiv w:val="1"/>
      <w:marLeft w:val="0"/>
      <w:marRight w:val="0"/>
      <w:marTop w:val="0"/>
      <w:marBottom w:val="0"/>
      <w:divBdr>
        <w:top w:val="none" w:sz="0" w:space="0" w:color="auto"/>
        <w:left w:val="none" w:sz="0" w:space="0" w:color="auto"/>
        <w:bottom w:val="none" w:sz="0" w:space="0" w:color="auto"/>
        <w:right w:val="none" w:sz="0" w:space="0" w:color="auto"/>
      </w:divBdr>
    </w:div>
    <w:div w:id="1174226386">
      <w:bodyDiv w:val="1"/>
      <w:marLeft w:val="0"/>
      <w:marRight w:val="0"/>
      <w:marTop w:val="0"/>
      <w:marBottom w:val="0"/>
      <w:divBdr>
        <w:top w:val="none" w:sz="0" w:space="0" w:color="auto"/>
        <w:left w:val="none" w:sz="0" w:space="0" w:color="auto"/>
        <w:bottom w:val="none" w:sz="0" w:space="0" w:color="auto"/>
        <w:right w:val="none" w:sz="0" w:space="0" w:color="auto"/>
      </w:divBdr>
      <w:divsChild>
        <w:div w:id="271864579">
          <w:marLeft w:val="188"/>
          <w:marRight w:val="0"/>
          <w:marTop w:val="0"/>
          <w:marBottom w:val="0"/>
          <w:divBdr>
            <w:top w:val="none" w:sz="0" w:space="0" w:color="auto"/>
            <w:left w:val="none" w:sz="0" w:space="0" w:color="auto"/>
            <w:bottom w:val="none" w:sz="0" w:space="0" w:color="auto"/>
            <w:right w:val="none" w:sz="0" w:space="0" w:color="auto"/>
          </w:divBdr>
        </w:div>
      </w:divsChild>
    </w:div>
    <w:div w:id="1201362716">
      <w:bodyDiv w:val="1"/>
      <w:marLeft w:val="0"/>
      <w:marRight w:val="0"/>
      <w:marTop w:val="0"/>
      <w:marBottom w:val="0"/>
      <w:divBdr>
        <w:top w:val="none" w:sz="0" w:space="0" w:color="auto"/>
        <w:left w:val="none" w:sz="0" w:space="0" w:color="auto"/>
        <w:bottom w:val="none" w:sz="0" w:space="0" w:color="auto"/>
        <w:right w:val="none" w:sz="0" w:space="0" w:color="auto"/>
      </w:divBdr>
    </w:div>
    <w:div w:id="1203903873">
      <w:bodyDiv w:val="1"/>
      <w:marLeft w:val="0"/>
      <w:marRight w:val="0"/>
      <w:marTop w:val="0"/>
      <w:marBottom w:val="0"/>
      <w:divBdr>
        <w:top w:val="none" w:sz="0" w:space="0" w:color="auto"/>
        <w:left w:val="none" w:sz="0" w:space="0" w:color="auto"/>
        <w:bottom w:val="none" w:sz="0" w:space="0" w:color="auto"/>
        <w:right w:val="none" w:sz="0" w:space="0" w:color="auto"/>
      </w:divBdr>
    </w:div>
    <w:div w:id="1216772568">
      <w:bodyDiv w:val="1"/>
      <w:marLeft w:val="0"/>
      <w:marRight w:val="0"/>
      <w:marTop w:val="0"/>
      <w:marBottom w:val="0"/>
      <w:divBdr>
        <w:top w:val="none" w:sz="0" w:space="0" w:color="auto"/>
        <w:left w:val="none" w:sz="0" w:space="0" w:color="auto"/>
        <w:bottom w:val="none" w:sz="0" w:space="0" w:color="auto"/>
        <w:right w:val="none" w:sz="0" w:space="0" w:color="auto"/>
      </w:divBdr>
    </w:div>
    <w:div w:id="1219435066">
      <w:bodyDiv w:val="1"/>
      <w:marLeft w:val="0"/>
      <w:marRight w:val="0"/>
      <w:marTop w:val="0"/>
      <w:marBottom w:val="0"/>
      <w:divBdr>
        <w:top w:val="none" w:sz="0" w:space="0" w:color="auto"/>
        <w:left w:val="none" w:sz="0" w:space="0" w:color="auto"/>
        <w:bottom w:val="none" w:sz="0" w:space="0" w:color="auto"/>
        <w:right w:val="none" w:sz="0" w:space="0" w:color="auto"/>
      </w:divBdr>
    </w:div>
    <w:div w:id="1357077381">
      <w:bodyDiv w:val="1"/>
      <w:marLeft w:val="0"/>
      <w:marRight w:val="0"/>
      <w:marTop w:val="0"/>
      <w:marBottom w:val="0"/>
      <w:divBdr>
        <w:top w:val="none" w:sz="0" w:space="0" w:color="auto"/>
        <w:left w:val="none" w:sz="0" w:space="0" w:color="auto"/>
        <w:bottom w:val="none" w:sz="0" w:space="0" w:color="auto"/>
        <w:right w:val="none" w:sz="0" w:space="0" w:color="auto"/>
      </w:divBdr>
      <w:divsChild>
        <w:div w:id="864751496">
          <w:marLeft w:val="147"/>
          <w:marRight w:val="0"/>
          <w:marTop w:val="0"/>
          <w:marBottom w:val="0"/>
          <w:divBdr>
            <w:top w:val="none" w:sz="0" w:space="0" w:color="auto"/>
            <w:left w:val="none" w:sz="0" w:space="0" w:color="auto"/>
            <w:bottom w:val="none" w:sz="0" w:space="0" w:color="auto"/>
            <w:right w:val="none" w:sz="0" w:space="0" w:color="auto"/>
          </w:divBdr>
        </w:div>
      </w:divsChild>
    </w:div>
    <w:div w:id="1357121891">
      <w:bodyDiv w:val="1"/>
      <w:marLeft w:val="0"/>
      <w:marRight w:val="0"/>
      <w:marTop w:val="0"/>
      <w:marBottom w:val="0"/>
      <w:divBdr>
        <w:top w:val="none" w:sz="0" w:space="0" w:color="auto"/>
        <w:left w:val="none" w:sz="0" w:space="0" w:color="auto"/>
        <w:bottom w:val="none" w:sz="0" w:space="0" w:color="auto"/>
        <w:right w:val="none" w:sz="0" w:space="0" w:color="auto"/>
      </w:divBdr>
    </w:div>
    <w:div w:id="1358118400">
      <w:bodyDiv w:val="1"/>
      <w:marLeft w:val="0"/>
      <w:marRight w:val="0"/>
      <w:marTop w:val="0"/>
      <w:marBottom w:val="0"/>
      <w:divBdr>
        <w:top w:val="none" w:sz="0" w:space="0" w:color="auto"/>
        <w:left w:val="none" w:sz="0" w:space="0" w:color="auto"/>
        <w:bottom w:val="none" w:sz="0" w:space="0" w:color="auto"/>
        <w:right w:val="none" w:sz="0" w:space="0" w:color="auto"/>
      </w:divBdr>
    </w:div>
    <w:div w:id="1392000876">
      <w:bodyDiv w:val="1"/>
      <w:marLeft w:val="0"/>
      <w:marRight w:val="0"/>
      <w:marTop w:val="0"/>
      <w:marBottom w:val="0"/>
      <w:divBdr>
        <w:top w:val="none" w:sz="0" w:space="0" w:color="auto"/>
        <w:left w:val="none" w:sz="0" w:space="0" w:color="auto"/>
        <w:bottom w:val="none" w:sz="0" w:space="0" w:color="auto"/>
        <w:right w:val="none" w:sz="0" w:space="0" w:color="auto"/>
      </w:divBdr>
    </w:div>
    <w:div w:id="1433745469">
      <w:bodyDiv w:val="1"/>
      <w:marLeft w:val="0"/>
      <w:marRight w:val="0"/>
      <w:marTop w:val="0"/>
      <w:marBottom w:val="0"/>
      <w:divBdr>
        <w:top w:val="none" w:sz="0" w:space="0" w:color="auto"/>
        <w:left w:val="none" w:sz="0" w:space="0" w:color="auto"/>
        <w:bottom w:val="none" w:sz="0" w:space="0" w:color="auto"/>
        <w:right w:val="none" w:sz="0" w:space="0" w:color="auto"/>
      </w:divBdr>
    </w:div>
    <w:div w:id="1526094593">
      <w:bodyDiv w:val="1"/>
      <w:marLeft w:val="0"/>
      <w:marRight w:val="0"/>
      <w:marTop w:val="0"/>
      <w:marBottom w:val="0"/>
      <w:divBdr>
        <w:top w:val="none" w:sz="0" w:space="0" w:color="auto"/>
        <w:left w:val="none" w:sz="0" w:space="0" w:color="auto"/>
        <w:bottom w:val="none" w:sz="0" w:space="0" w:color="auto"/>
        <w:right w:val="none" w:sz="0" w:space="0" w:color="auto"/>
      </w:divBdr>
    </w:div>
    <w:div w:id="1539320350">
      <w:bodyDiv w:val="1"/>
      <w:marLeft w:val="0"/>
      <w:marRight w:val="0"/>
      <w:marTop w:val="0"/>
      <w:marBottom w:val="0"/>
      <w:divBdr>
        <w:top w:val="none" w:sz="0" w:space="0" w:color="auto"/>
        <w:left w:val="none" w:sz="0" w:space="0" w:color="auto"/>
        <w:bottom w:val="none" w:sz="0" w:space="0" w:color="auto"/>
        <w:right w:val="none" w:sz="0" w:space="0" w:color="auto"/>
      </w:divBdr>
    </w:div>
    <w:div w:id="1558085445">
      <w:bodyDiv w:val="1"/>
      <w:marLeft w:val="0"/>
      <w:marRight w:val="0"/>
      <w:marTop w:val="0"/>
      <w:marBottom w:val="0"/>
      <w:divBdr>
        <w:top w:val="none" w:sz="0" w:space="0" w:color="auto"/>
        <w:left w:val="none" w:sz="0" w:space="0" w:color="auto"/>
        <w:bottom w:val="none" w:sz="0" w:space="0" w:color="auto"/>
        <w:right w:val="none" w:sz="0" w:space="0" w:color="auto"/>
      </w:divBdr>
    </w:div>
    <w:div w:id="1609853881">
      <w:bodyDiv w:val="1"/>
      <w:marLeft w:val="0"/>
      <w:marRight w:val="0"/>
      <w:marTop w:val="0"/>
      <w:marBottom w:val="0"/>
      <w:divBdr>
        <w:top w:val="none" w:sz="0" w:space="0" w:color="auto"/>
        <w:left w:val="none" w:sz="0" w:space="0" w:color="auto"/>
        <w:bottom w:val="none" w:sz="0" w:space="0" w:color="auto"/>
        <w:right w:val="none" w:sz="0" w:space="0" w:color="auto"/>
      </w:divBdr>
      <w:divsChild>
        <w:div w:id="1307930574">
          <w:marLeft w:val="193"/>
          <w:marRight w:val="0"/>
          <w:marTop w:val="0"/>
          <w:marBottom w:val="0"/>
          <w:divBdr>
            <w:top w:val="none" w:sz="0" w:space="0" w:color="auto"/>
            <w:left w:val="none" w:sz="0" w:space="0" w:color="auto"/>
            <w:bottom w:val="none" w:sz="0" w:space="0" w:color="auto"/>
            <w:right w:val="none" w:sz="0" w:space="0" w:color="auto"/>
          </w:divBdr>
        </w:div>
      </w:divsChild>
    </w:div>
    <w:div w:id="1668050739">
      <w:bodyDiv w:val="1"/>
      <w:marLeft w:val="0"/>
      <w:marRight w:val="0"/>
      <w:marTop w:val="0"/>
      <w:marBottom w:val="0"/>
      <w:divBdr>
        <w:top w:val="none" w:sz="0" w:space="0" w:color="auto"/>
        <w:left w:val="none" w:sz="0" w:space="0" w:color="auto"/>
        <w:bottom w:val="none" w:sz="0" w:space="0" w:color="auto"/>
        <w:right w:val="none" w:sz="0" w:space="0" w:color="auto"/>
      </w:divBdr>
    </w:div>
    <w:div w:id="1742754076">
      <w:bodyDiv w:val="1"/>
      <w:marLeft w:val="0"/>
      <w:marRight w:val="0"/>
      <w:marTop w:val="0"/>
      <w:marBottom w:val="0"/>
      <w:divBdr>
        <w:top w:val="none" w:sz="0" w:space="0" w:color="auto"/>
        <w:left w:val="none" w:sz="0" w:space="0" w:color="auto"/>
        <w:bottom w:val="none" w:sz="0" w:space="0" w:color="auto"/>
        <w:right w:val="none" w:sz="0" w:space="0" w:color="auto"/>
      </w:divBdr>
      <w:divsChild>
        <w:div w:id="1024794635">
          <w:marLeft w:val="188"/>
          <w:marRight w:val="0"/>
          <w:marTop w:val="0"/>
          <w:marBottom w:val="0"/>
          <w:divBdr>
            <w:top w:val="none" w:sz="0" w:space="0" w:color="auto"/>
            <w:left w:val="none" w:sz="0" w:space="0" w:color="auto"/>
            <w:bottom w:val="none" w:sz="0" w:space="0" w:color="auto"/>
            <w:right w:val="none" w:sz="0" w:space="0" w:color="auto"/>
          </w:divBdr>
        </w:div>
      </w:divsChild>
    </w:div>
    <w:div w:id="1749617275">
      <w:bodyDiv w:val="1"/>
      <w:marLeft w:val="0"/>
      <w:marRight w:val="0"/>
      <w:marTop w:val="0"/>
      <w:marBottom w:val="0"/>
      <w:divBdr>
        <w:top w:val="none" w:sz="0" w:space="0" w:color="auto"/>
        <w:left w:val="none" w:sz="0" w:space="0" w:color="auto"/>
        <w:bottom w:val="none" w:sz="0" w:space="0" w:color="auto"/>
        <w:right w:val="none" w:sz="0" w:space="0" w:color="auto"/>
      </w:divBdr>
    </w:div>
    <w:div w:id="1759596393">
      <w:bodyDiv w:val="1"/>
      <w:marLeft w:val="0"/>
      <w:marRight w:val="0"/>
      <w:marTop w:val="0"/>
      <w:marBottom w:val="0"/>
      <w:divBdr>
        <w:top w:val="none" w:sz="0" w:space="0" w:color="auto"/>
        <w:left w:val="none" w:sz="0" w:space="0" w:color="auto"/>
        <w:bottom w:val="none" w:sz="0" w:space="0" w:color="auto"/>
        <w:right w:val="none" w:sz="0" w:space="0" w:color="auto"/>
      </w:divBdr>
    </w:div>
    <w:div w:id="1762869491">
      <w:bodyDiv w:val="1"/>
      <w:marLeft w:val="0"/>
      <w:marRight w:val="0"/>
      <w:marTop w:val="0"/>
      <w:marBottom w:val="0"/>
      <w:divBdr>
        <w:top w:val="none" w:sz="0" w:space="0" w:color="auto"/>
        <w:left w:val="none" w:sz="0" w:space="0" w:color="auto"/>
        <w:bottom w:val="none" w:sz="0" w:space="0" w:color="auto"/>
        <w:right w:val="none" w:sz="0" w:space="0" w:color="auto"/>
      </w:divBdr>
    </w:div>
    <w:div w:id="1772436707">
      <w:bodyDiv w:val="1"/>
      <w:marLeft w:val="0"/>
      <w:marRight w:val="0"/>
      <w:marTop w:val="0"/>
      <w:marBottom w:val="0"/>
      <w:divBdr>
        <w:top w:val="none" w:sz="0" w:space="0" w:color="auto"/>
        <w:left w:val="none" w:sz="0" w:space="0" w:color="auto"/>
        <w:bottom w:val="none" w:sz="0" w:space="0" w:color="auto"/>
        <w:right w:val="none" w:sz="0" w:space="0" w:color="auto"/>
      </w:divBdr>
      <w:divsChild>
        <w:div w:id="208803647">
          <w:marLeft w:val="147"/>
          <w:marRight w:val="0"/>
          <w:marTop w:val="0"/>
          <w:marBottom w:val="0"/>
          <w:divBdr>
            <w:top w:val="none" w:sz="0" w:space="0" w:color="auto"/>
            <w:left w:val="none" w:sz="0" w:space="0" w:color="auto"/>
            <w:bottom w:val="none" w:sz="0" w:space="0" w:color="auto"/>
            <w:right w:val="none" w:sz="0" w:space="0" w:color="auto"/>
          </w:divBdr>
        </w:div>
      </w:divsChild>
    </w:div>
    <w:div w:id="1782650236">
      <w:bodyDiv w:val="1"/>
      <w:marLeft w:val="0"/>
      <w:marRight w:val="0"/>
      <w:marTop w:val="0"/>
      <w:marBottom w:val="0"/>
      <w:divBdr>
        <w:top w:val="none" w:sz="0" w:space="0" w:color="auto"/>
        <w:left w:val="none" w:sz="0" w:space="0" w:color="auto"/>
        <w:bottom w:val="none" w:sz="0" w:space="0" w:color="auto"/>
        <w:right w:val="none" w:sz="0" w:space="0" w:color="auto"/>
      </w:divBdr>
    </w:div>
    <w:div w:id="1794858959">
      <w:bodyDiv w:val="1"/>
      <w:marLeft w:val="0"/>
      <w:marRight w:val="0"/>
      <w:marTop w:val="0"/>
      <w:marBottom w:val="0"/>
      <w:divBdr>
        <w:top w:val="none" w:sz="0" w:space="0" w:color="auto"/>
        <w:left w:val="none" w:sz="0" w:space="0" w:color="auto"/>
        <w:bottom w:val="none" w:sz="0" w:space="0" w:color="auto"/>
        <w:right w:val="none" w:sz="0" w:space="0" w:color="auto"/>
      </w:divBdr>
    </w:div>
    <w:div w:id="1895698151">
      <w:bodyDiv w:val="1"/>
      <w:marLeft w:val="0"/>
      <w:marRight w:val="0"/>
      <w:marTop w:val="0"/>
      <w:marBottom w:val="0"/>
      <w:divBdr>
        <w:top w:val="none" w:sz="0" w:space="0" w:color="auto"/>
        <w:left w:val="none" w:sz="0" w:space="0" w:color="auto"/>
        <w:bottom w:val="none" w:sz="0" w:space="0" w:color="auto"/>
        <w:right w:val="none" w:sz="0" w:space="0" w:color="auto"/>
      </w:divBdr>
    </w:div>
    <w:div w:id="1969167135">
      <w:bodyDiv w:val="1"/>
      <w:marLeft w:val="0"/>
      <w:marRight w:val="0"/>
      <w:marTop w:val="0"/>
      <w:marBottom w:val="0"/>
      <w:divBdr>
        <w:top w:val="none" w:sz="0" w:space="0" w:color="auto"/>
        <w:left w:val="none" w:sz="0" w:space="0" w:color="auto"/>
        <w:bottom w:val="none" w:sz="0" w:space="0" w:color="auto"/>
        <w:right w:val="none" w:sz="0" w:space="0" w:color="auto"/>
      </w:divBdr>
    </w:div>
    <w:div w:id="1999769159">
      <w:bodyDiv w:val="1"/>
      <w:marLeft w:val="0"/>
      <w:marRight w:val="0"/>
      <w:marTop w:val="0"/>
      <w:marBottom w:val="0"/>
      <w:divBdr>
        <w:top w:val="none" w:sz="0" w:space="0" w:color="auto"/>
        <w:left w:val="none" w:sz="0" w:space="0" w:color="auto"/>
        <w:bottom w:val="none" w:sz="0" w:space="0" w:color="auto"/>
        <w:right w:val="none" w:sz="0" w:space="0" w:color="auto"/>
      </w:divBdr>
    </w:div>
    <w:div w:id="2039694271">
      <w:bodyDiv w:val="1"/>
      <w:marLeft w:val="0"/>
      <w:marRight w:val="0"/>
      <w:marTop w:val="0"/>
      <w:marBottom w:val="0"/>
      <w:divBdr>
        <w:top w:val="none" w:sz="0" w:space="0" w:color="auto"/>
        <w:left w:val="none" w:sz="0" w:space="0" w:color="auto"/>
        <w:bottom w:val="none" w:sz="0" w:space="0" w:color="auto"/>
        <w:right w:val="none" w:sz="0" w:space="0" w:color="auto"/>
      </w:divBdr>
    </w:div>
    <w:div w:id="20868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554181251355428" TargetMode="External"/><Relationship Id="rId13" Type="http://schemas.openxmlformats.org/officeDocument/2006/relationships/hyperlink" Target="https://doi.org/10.1186/s41239-025-00540-2"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doi.org/10.1016/j.compedu.2020.103855" TargetMode="External"/><Relationship Id="rId12" Type="http://schemas.openxmlformats.org/officeDocument/2006/relationships/hyperlink" Target="https://doi.org/10.3389/fpsyg.2025.1183069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esdoc.unesco.org/ark:/48223/pf000038651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2256-019-0088-2" TargetMode="External"/><Relationship Id="rId5" Type="http://schemas.openxmlformats.org/officeDocument/2006/relationships/footnotes" Target="footnotes.xml"/><Relationship Id="rId15" Type="http://schemas.openxmlformats.org/officeDocument/2006/relationships/hyperlink" Target="https://doi.org/10.1016/j.discedu.2025.100266" TargetMode="External"/><Relationship Id="rId23" Type="http://schemas.openxmlformats.org/officeDocument/2006/relationships/theme" Target="theme/theme1.xml"/><Relationship Id="rId10" Type="http://schemas.openxmlformats.org/officeDocument/2006/relationships/hyperlink" Target="https://doi.org/10.1038/s41539-025-00326-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16/j.ijinfomgt.2019.08.002" TargetMode="External"/><Relationship Id="rId14" Type="http://schemas.openxmlformats.org/officeDocument/2006/relationships/hyperlink" Target="https://doi.org/10.1007/s11528-025-01100-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leh\OneDrive\Desktop\&#12470;&#12524;&#12495;&#20808;&#29983;\RESEARCH%20&amp;%20PUBLICATION\JCSi\Format\Template%20An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C:\Users\zaleh\OneDrive\Desktop\ザレハ先生\RESEARCH &amp; PUBLICATION\JCSi\Format\Template Anis.dotx</Template>
  <TotalTime>0</TotalTime>
  <Pages>10</Pages>
  <Words>5063</Words>
  <Characters>28861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Zaleha Aman</dc:creator>
  <cp:keywords/>
  <dc:description/>
  <cp:lastModifiedBy>ANIS Z</cp:lastModifiedBy>
  <cp:revision>2</cp:revision>
  <dcterms:created xsi:type="dcterms:W3CDTF">2026-08-27T05:44:00Z</dcterms:created>
  <dcterms:modified xsi:type="dcterms:W3CDTF">2026-08-27T05:44:00Z</dcterms:modified>
</cp:coreProperties>
</file>